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44568/Δ1.1479</w:t>
      </w:r>
      <w:r>
        <w:rPr>
          <w:lang w:val="el" w:eastAsia="el"/>
        </w:rPr>
        <w:t xml:space="preserve">5 </w:t>
      </w:r>
    </w:p>
    <w:p>
      <w:pPr>
        <w:pStyle w:val="PreambelText"/>
        <w:spacing w:before="240" w:after="240"/>
        <w:rPr>
          <w:lang w:val="el" w:eastAsia="el"/>
        </w:rPr>
      </w:pPr>
      <w:r>
        <w:rPr>
          <w:b/>
          <w:bCs/>
          <w:lang w:val="el" w:eastAsia="el"/>
        </w:rPr>
        <w:t>Τροποποίηση της αριθμ. 40331/Δ1.13521/ 13-9-2019 (3520/Β’/19-9-2019)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απόφασης του Υπουργού Εργασίας και Κοινωνικών Υποθέσεων.</w:t>
      </w:r>
    </w:p>
    <w:p>
      <w:pPr>
        <w:pStyle w:val="PreambelText"/>
        <w:spacing w:before="240" w:after="240"/>
        <w:rPr>
          <w:lang w:val="el" w:eastAsia="el"/>
        </w:rPr>
      </w:pPr>
      <w:r>
        <w:rPr>
          <w:b/>
          <w:bCs/>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 17 παρ. 6 του ν. 3899/2010 «Επείγοντα μέτρα εφαρμογής του προγράμματος στήριξης της ελληνικής οικονομίας» (Α’212).</w:t>
      </w:r>
    </w:p>
    <w:p>
      <w:pPr>
        <w:pStyle w:val="PreambelText"/>
        <w:spacing w:before="240" w:after="240"/>
        <w:rPr>
          <w:lang w:val="el" w:eastAsia="el"/>
        </w:rPr>
      </w:pPr>
      <w:r>
        <w:rPr>
          <w:lang w:val="el" w:eastAsia="el"/>
        </w:rPr>
        <w:t>2. Το άρθ. 10 του ν. 4554/2018 «Ασφαλιστικές και συνταξιοδοτικές ρυθμίσεις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3. Το άρθ.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4. Το άρθ. 33 του ν. 1836/1989 «Προώθηση της απασχόλησης και της επαγγελματικής κατάρτισης και άλλες διατάξεις» (Α’79), όπως ισχύει μετά την τροποποίησή του από το άρθρο 37 του ν. 4488/2017 (Α’ 137) και το άρθρο 59 του ν. 4611/2019 (Α’ 73).</w:t>
      </w:r>
    </w:p>
    <w:p>
      <w:pPr>
        <w:pStyle w:val="PreambelText"/>
        <w:spacing w:before="240" w:after="240"/>
        <w:rPr>
          <w:lang w:val="el" w:eastAsia="el"/>
        </w:rPr>
      </w:pPr>
      <w:r>
        <w:rPr>
          <w:lang w:val="el" w:eastAsia="el"/>
        </w:rPr>
        <w:t>5. Την παρ. 2 του άρθ. 117 του ν. 4623/2019 «Ρυθμίσεις του Υπουργείου Εσωτερικών, διατάξεις για την ψηφιακή διακυβέρνηση, συνταξιοδοτικές ρυθμίσεις και άλλα επείγοντα ζητήματα» (Α’ 134), που καταργεί το άρθ. 48 του ν. 4611/2019 (Α’ 73).</w:t>
      </w:r>
    </w:p>
    <w:p>
      <w:pPr>
        <w:pStyle w:val="PreambelText"/>
        <w:spacing w:before="240" w:after="240"/>
        <w:rPr>
          <w:lang w:val="el" w:eastAsia="el"/>
        </w:rPr>
      </w:pPr>
      <w:r>
        <w:rPr>
          <w:lang w:val="el" w:eastAsia="el"/>
        </w:rPr>
        <w:t>6. Τις παρ. 2 και 3 του άρθ. 27 του π.δ. 246/2006 «Γενικός Κανονισμός Προσωπικού των Κ.Τ.Ε.Λ. Α.Ε. και των Κ.Τ.Ε.Λ. του ν. 2963/2001» ( Α’ 261).</w:t>
      </w:r>
    </w:p>
    <w:p>
      <w:pPr>
        <w:pStyle w:val="PreambelText"/>
        <w:spacing w:before="240" w:after="240"/>
        <w:rPr>
          <w:lang w:val="el" w:eastAsia="el"/>
        </w:rPr>
      </w:pPr>
      <w:r>
        <w:rPr>
          <w:lang w:val="el" w:eastAsia="el"/>
        </w:rPr>
        <w:t>7. Την παρ. 2 του άρθ.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84/2019 «Σύσταση και κατάργηση Γενικών Γραμματειών και Ειδικών Γραμματειών/Ενιαίων Διοικητικών Τομέων» (Α’ 123).</w:t>
      </w:r>
    </w:p>
    <w:p>
      <w:pPr>
        <w:pStyle w:val="PreambelText"/>
        <w:spacing w:before="240" w:after="240"/>
        <w:rPr>
          <w:lang w:val="el" w:eastAsia="el"/>
        </w:rPr>
      </w:pPr>
      <w:r>
        <w:rPr>
          <w:lang w:val="el" w:eastAsia="el"/>
        </w:rPr>
        <w:t>11. Το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12. Τις διατάξεις περί υπερωριακής απασχόλησης των εργαζομένων {και ιδίως άρθ. 5 και 7 του α.ν. 547/1937 (Α’98), άρθ. 3 του β.δ. 28-1/4-2-1938 (Α’35), άρθ. 3 του β.δ. 14-8/8-9-1950 (Α’202), άρθ. 3 παρ. 1 του ν.δ. 515/1970 (Α’95), άρθ. 18 του π.δ. 8-4/1932 (Α’114), άρθ. 12 του ν.δ. 1037/1971 (Α’235), και τις αριθμ. υπουργική απόφαση 6958/13-2-1960 (Β’ 96), 63323/29-9-1961, (Β’ 350), 39431/6-6-1961 (Β’ 234) και 65982/13-1-1966 (Β’ 600)}. 13. Τον α.ν. 1846/1951 «Περί κοινωνικών ασφαλίσεων» (Α’ 179) και ιδίως το άρθ. 26 παρ. 9 περ. στ’ υποπερ. αα’ και ββ’, σε συνδυασμό με το άρθ. 20 παρ. 1 και παρ. 2 του ν. 4255/2014 (Α’ 89).</w:t>
      </w:r>
    </w:p>
    <w:p>
      <w:pPr>
        <w:pStyle w:val="PreambelText"/>
        <w:spacing w:before="240" w:after="240"/>
        <w:rPr>
          <w:lang w:val="el" w:eastAsia="el"/>
        </w:rPr>
      </w:pPr>
      <w:r>
        <w:rPr>
          <w:lang w:val="el" w:eastAsia="el"/>
        </w:rPr>
        <w:t>14. Το άρθ. 5 παρ. 2 του ν.δ. 2656/1953 «Περί Οργανώσεως και ελέγχου της αγοράς εργασίας» (Α’299).</w:t>
      </w:r>
    </w:p>
    <w:p>
      <w:pPr>
        <w:pStyle w:val="PreambelText"/>
        <w:spacing w:before="240" w:after="240"/>
        <w:rPr>
          <w:lang w:val="el" w:eastAsia="el"/>
        </w:rPr>
      </w:pPr>
      <w:r>
        <w:rPr>
          <w:lang w:val="el" w:eastAsia="el"/>
        </w:rPr>
        <w:t>15. Το άρθ. 9 παρ. 1 του ν. 3198/1955 «Περί τροποποιήσεως και συμπληρώσεως των περί καταγγελίας της σχέσεως εργασίας διατάξεων» (Α’98).</w:t>
      </w:r>
    </w:p>
    <w:p>
      <w:pPr>
        <w:pStyle w:val="PreambelText"/>
        <w:spacing w:before="240" w:after="240"/>
        <w:rPr>
          <w:lang w:val="el" w:eastAsia="el"/>
        </w:rPr>
      </w:pPr>
      <w:r>
        <w:rPr>
          <w:lang w:val="el" w:eastAsia="el"/>
        </w:rPr>
        <w:t>16. Το άρθ.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17. Την παρ. 2 του άρθ.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(TEBE) και άλλες διατάξεις» (A’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18. Το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(Α’137)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(EE L 119/4-5-2016, σελ. 1-88).</w:t>
      </w:r>
    </w:p>
    <w:p>
      <w:pPr>
        <w:pStyle w:val="PreambelText"/>
        <w:spacing w:before="240" w:after="240"/>
        <w:rPr>
          <w:lang w:val="el" w:eastAsia="el"/>
        </w:rPr>
      </w:pPr>
      <w:r>
        <w:rPr>
          <w:lang w:val="el" w:eastAsia="el"/>
        </w:rPr>
        <w:t>19. Τον ν. 2956/2001 «Αναδιάρθρωση Ο.Α.Ε.Δ. και άλλες διατάξεις» (Α’ 258).</w:t>
      </w:r>
    </w:p>
    <w:p>
      <w:pPr>
        <w:pStyle w:val="PreambelText"/>
        <w:spacing w:before="240" w:after="240"/>
        <w:rPr>
          <w:lang w:val="el" w:eastAsia="el"/>
        </w:rPr>
      </w:pPr>
      <w:r>
        <w:rPr>
          <w:lang w:val="el" w:eastAsia="el"/>
        </w:rPr>
        <w:t>20. Την. παρ. 1 του άρθ.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21. Το άρθ. 6 παρ. 1 περ. δ’ του ν. 2972/2001 «Εκσυγχρονισμός της οργάνωσης και της λειτουργίας του ΙΚΑ και άλλες διατάξεις» (Α’ 91), σε συνδυασμό με το άρθ. 38 του ν. 4488/2017 (Α’ 137).</w:t>
      </w:r>
    </w:p>
    <w:p>
      <w:pPr>
        <w:pStyle w:val="PreambelText"/>
        <w:spacing w:before="240" w:after="240"/>
        <w:rPr>
          <w:lang w:val="el" w:eastAsia="el"/>
        </w:rPr>
      </w:pPr>
      <w:r>
        <w:rPr>
          <w:lang w:val="el" w:eastAsia="el"/>
        </w:rPr>
        <w:t>22. Το άρθ. 12 παρ. 4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23. Τον ν. 3979/2011 «Για την ηλεκτρονική διακυβέρνηση και λοιπές διατάξεις» (Α’138).</w:t>
      </w:r>
    </w:p>
    <w:p>
      <w:pPr>
        <w:pStyle w:val="PreambelText"/>
        <w:spacing w:before="240" w:after="240"/>
        <w:rPr>
          <w:lang w:val="el" w:eastAsia="el"/>
        </w:rPr>
      </w:pPr>
      <w:r>
        <w:rPr>
          <w:lang w:val="el" w:eastAsia="el"/>
        </w:rPr>
        <w:t>24. Τα άρθ. 18 και 30 του ν. 3996/2011 «Αναμόρφωση του Σώματος Επιθεωρητών Εργασίας, ρυθμίσεις θεμάτων Κοινωνικής Ασφάλισης και άλλες διατάξεις» (Α’ 170).</w:t>
      </w:r>
    </w:p>
    <w:p>
      <w:pPr>
        <w:pStyle w:val="PreambelText"/>
        <w:spacing w:before="240" w:after="240"/>
        <w:rPr>
          <w:lang w:val="el" w:eastAsia="el"/>
        </w:rPr>
      </w:pPr>
      <w:r>
        <w:rPr>
          <w:lang w:val="el" w:eastAsia="el"/>
        </w:rPr>
        <w:t>25. Το άρθ. 31, την παρ.1 του άρθ. 32 και την παρ. 2 του άρθ.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26. Τις υποπαραγράφους ΙΑ.11 έως ΙΑ.14 του άρθρου πρώτου του ν. 4093/2012 «Εγκριση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27. Την υποπαράγραφο ΙΔ.1 και την υποπαράγραφο ΙΑ.3 του άρθρου πρώτου του ν. 4152/2013 «Επείγοντα μέτρα εφαρμογής των ν. 4046/2012, 4093/2012 και 4127/2013» (Α’ 107).</w:t>
      </w:r>
    </w:p>
    <w:p>
      <w:pPr>
        <w:pStyle w:val="PreambelText"/>
        <w:spacing w:before="240" w:after="240"/>
        <w:rPr>
          <w:lang w:val="el" w:eastAsia="el"/>
        </w:rPr>
      </w:pPr>
      <w:r>
        <w:rPr>
          <w:lang w:val="el" w:eastAsia="el"/>
        </w:rPr>
        <w:t>28.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29. Το άρθ. 13 του π.δ. της 27.6/4-7-1932 «Περί Κωδικοποιήσεως και συμπληρώσεως των περί οκταώρου εργασίας διατάξεων»(Α’212)σεσυνδυασμόμε το άρθ. 13 παρ.1-7 του ν.δ. 1037/1971 (Α’ 235).</w:t>
      </w:r>
    </w:p>
    <w:p>
      <w:pPr>
        <w:pStyle w:val="PreambelText"/>
        <w:spacing w:before="240" w:after="240"/>
        <w:rPr>
          <w:lang w:val="el" w:eastAsia="el"/>
        </w:rPr>
      </w:pPr>
      <w:r>
        <w:rPr>
          <w:lang w:val="el" w:eastAsia="el"/>
        </w:rPr>
        <w:t>30. Την 1801/19-7-1989 υπουργική απόφαση «Υποχρέωση τήρησης Βιβλίου Ημερήσιων Δελτίων Απασχολουμένου Προσωπικού στην εκτέλεση οικοδομικών και τεχνικών έργων» (Β’569).</w:t>
      </w:r>
    </w:p>
    <w:p>
      <w:pPr>
        <w:pStyle w:val="PreambelText"/>
        <w:spacing w:before="240" w:after="240"/>
        <w:rPr>
          <w:lang w:val="el" w:eastAsia="el"/>
        </w:rPr>
      </w:pPr>
      <w:r>
        <w:rPr>
          <w:lang w:val="el" w:eastAsia="el"/>
        </w:rPr>
        <w:t>31. Την αριθμ.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αριθμ. 989/1-9-1980 (Β’ 905) και αριθμ. 128/21-1-1986 (Β’ 73) αποφάσεις του Υπουργού Εργασίας.</w:t>
      </w:r>
    </w:p>
    <w:p>
      <w:pPr>
        <w:pStyle w:val="PreambelText"/>
        <w:spacing w:before="240" w:after="240"/>
        <w:rPr>
          <w:lang w:val="el" w:eastAsia="el"/>
        </w:rPr>
      </w:pPr>
      <w:r>
        <w:rPr>
          <w:lang w:val="el" w:eastAsia="el"/>
        </w:rPr>
        <w:t>32. Την με αριθμ.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33. Την με αριθμ.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34. Την με αριθμ.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(Β’453).</w:t>
      </w:r>
    </w:p>
    <w:p>
      <w:pPr>
        <w:pStyle w:val="PreambelText"/>
        <w:spacing w:before="240" w:after="240"/>
        <w:rPr>
          <w:lang w:val="el" w:eastAsia="el"/>
        </w:rPr>
      </w:pPr>
      <w:r>
        <w:rPr>
          <w:lang w:val="el" w:eastAsia="el"/>
        </w:rPr>
        <w:t>35. Την με αριθμ.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36. Την με αριθμ. 16802/667/27-8-2010 απόφαση των Υπουργών Παιδείας Διά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37. Την με αριθμ.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38. Την με αριθμ.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αριθμ. 60615/Δ4/7-4-2017 (Β’ 1441) και Φ4/117002/Δ4/ 11-7-2018 (Β’ 2784) όμοιες.</w:t>
      </w:r>
    </w:p>
    <w:p>
      <w:pPr>
        <w:pStyle w:val="PreambelText"/>
        <w:spacing w:before="240" w:after="240"/>
        <w:rPr>
          <w:lang w:val="el" w:eastAsia="el"/>
        </w:rPr>
      </w:pPr>
      <w:r>
        <w:rPr>
          <w:lang w:val="el" w:eastAsia="el"/>
        </w:rPr>
        <w:t>39. Την με αριθμ. K1/118932/13-7-2017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 με αριθμ. K1/85151/2019 όμοια της (Β’2117).</w:t>
      </w:r>
    </w:p>
    <w:p>
      <w:pPr>
        <w:pStyle w:val="PreambelText"/>
        <w:spacing w:before="240" w:after="240"/>
        <w:rPr>
          <w:lang w:val="el" w:eastAsia="el"/>
        </w:rPr>
      </w:pPr>
      <w:r>
        <w:rPr>
          <w:lang w:val="el" w:eastAsia="el"/>
        </w:rPr>
        <w:t>40. Την με αριθμ.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Έτους-Τάξη Μαθητείας” αρμοδιότητας Υπουργείου Παιδείας, Έρευνας και Θρησκευμάτων» (Β’ 4191), όπως τροποποιήθηκε με την Φ7/35243/Δ4/6-3-2019 όμοιά της (Β’ 866).</w:t>
      </w:r>
    </w:p>
    <w:p>
      <w:pPr>
        <w:pStyle w:val="PreambelText"/>
        <w:spacing w:before="240" w:after="240"/>
        <w:rPr>
          <w:lang w:val="el" w:eastAsia="el"/>
        </w:rPr>
      </w:pPr>
      <w:r>
        <w:rPr>
          <w:lang w:val="el" w:eastAsia="el"/>
        </w:rPr>
        <w:t>41. Τη με αριθμ.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Μαθητείας/Πρακτικής Άσκησης μαθητευόμενων των Επαγγελματικών Σχολών (ΕΠΑ.Σ.) Μαθητείας του ν. 3475/2006, που απασχολούνταιστο Δημόσιο, σε φορείς του Δημοσίου Τομέα, στους OTA, σε επιχειρήσεις Οργανισμών Τοπικής Αυτοδιοίκησης (Ο.Τ.Α.),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 (Β’1340).</w:t>
      </w:r>
    </w:p>
    <w:p>
      <w:pPr>
        <w:pStyle w:val="PreambelText"/>
        <w:spacing w:before="240" w:after="240"/>
        <w:rPr>
          <w:lang w:val="el" w:eastAsia="el"/>
        </w:rPr>
      </w:pPr>
      <w:r>
        <w:rPr>
          <w:lang w:val="el" w:eastAsia="el"/>
        </w:rPr>
        <w:t>42. Την αριθμ. 40331/Δ1.13521/13-9-2019 υπουργική απόφαση (3520/Β’/19-9-2019)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w:t>
      </w:r>
    </w:p>
    <w:p>
      <w:pPr>
        <w:pStyle w:val="PreambelText"/>
        <w:spacing w:before="240" w:after="240"/>
        <w:rPr>
          <w:lang w:val="el" w:eastAsia="el"/>
        </w:rPr>
      </w:pPr>
      <w:r>
        <w:rPr>
          <w:lang w:val="el" w:eastAsia="el"/>
        </w:rPr>
        <w:t>43. Την ανάγκη απλούστευσης διαδικασιών, μείωσης διοικητικού βάρους, ενίσχυσης των Υπηρεσιών του Σώματος Επιθεώρησης Εργασίας και μεγιστοποίησης του οφέλους από τη χρήση πληροφοριακών συστημάτων με την επίτευξη της διαλειτουργικότητας για ανταλλαγή και διασταύρωση στοιχείων.</w:t>
      </w:r>
    </w:p>
    <w:p>
      <w:pPr>
        <w:pStyle w:val="PreambelText"/>
        <w:spacing w:before="240" w:after="240"/>
        <w:rPr>
          <w:lang w:val="el" w:eastAsia="el"/>
        </w:rPr>
      </w:pPr>
      <w:r>
        <w:rPr>
          <w:lang w:val="el" w:eastAsia="el"/>
        </w:rPr>
        <w:t>44. Την ανάγκη της ποιοτικής αναβάθμισης των εφαρμοζόμενων πολιτικών απασχόλησης και επαγγελματικής εκπαίδευσης και κατάρτισης προς όφελος της οικονομίας και της αγοράς εργασίας.</w:t>
      </w:r>
    </w:p>
    <w:p>
      <w:pPr>
        <w:pStyle w:val="PreambelText"/>
        <w:spacing w:before="240" w:after="240"/>
        <w:rPr>
          <w:lang w:val="el" w:eastAsia="el"/>
        </w:rPr>
      </w:pPr>
      <w:r>
        <w:rPr>
          <w:lang w:val="el" w:eastAsia="el"/>
        </w:rPr>
        <w:t>45. Την ανάγκη υποστήριξης της λειτουργίας του μόνιμου Μηχανισμού Διάγνωσης των Αναγκών της Αγοράς Εργασίας που αναπτύσσει το Υπουργείο Εργασίας, Κοινωνικής Ασφάλισης και Κοινωνικής Αλληλεγγύης.</w:t>
      </w:r>
    </w:p>
    <w:p>
      <w:pPr>
        <w:pStyle w:val="PreambelText"/>
        <w:spacing w:before="240" w:after="240"/>
        <w:rPr>
          <w:lang w:val="el" w:eastAsia="el"/>
        </w:rPr>
      </w:pPr>
      <w:r>
        <w:rPr>
          <w:lang w:val="el" w:eastAsia="el"/>
        </w:rPr>
        <w:t>46. Την ανάγκη συνολικής καταγραφής των ατόμων που πραγματοποιούν πρακτική άσκηση ή μαθητεία στο πλαίσιο των σπουδών τους (ανεξαρτήτως βαθμίδας εκπαίδευσης).</w:t>
      </w:r>
    </w:p>
    <w:p>
      <w:pPr>
        <w:pStyle w:val="PreambelText"/>
        <w:spacing w:before="240" w:after="240"/>
        <w:rPr>
          <w:lang w:val="el" w:eastAsia="el"/>
        </w:rPr>
      </w:pPr>
      <w:r>
        <w:rPr>
          <w:lang w:val="el" w:eastAsia="el"/>
        </w:rPr>
        <w:t>47. Το άρθρο 90 του Κώδικα Νομοθεσίας για την Κυβέρνηση και τα Κυβερνητικά Όργανα που κυρώθηκε με το άρθρο 1 του π.δ. 63/2005 (Α’ 98).</w:t>
      </w:r>
    </w:p>
    <w:p>
      <w:pPr>
        <w:pStyle w:val="PreambelText"/>
        <w:spacing w:before="240" w:after="240"/>
        <w:rPr>
          <w:lang w:val="el" w:eastAsia="el"/>
        </w:rPr>
      </w:pPr>
      <w:r>
        <w:rPr>
          <w:lang w:val="el" w:eastAsia="el"/>
        </w:rPr>
        <w:t>48.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Τροποποιείται η αριθμ. 40331/Δ1.13521/13-9-2019 (3520/Β’/19-9-2019)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απόφαση του Υπουργού Εργασίας και Κοινωνικών Υποθέσεων, ως εξής: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πρώτο</w:t>
      </w:r>
    </w:p>
    <w:p>
      <w:pPr>
        <w:pStyle w:val="MainText"/>
        <w:spacing w:before="120" w:after="0"/>
        <w:rPr>
          <w:lang w:val="el" w:eastAsia="el"/>
        </w:rPr>
      </w:pPr>
      <w:r>
        <w:rPr>
          <w:b/>
          <w:bCs/>
          <w:lang w:val="el" w:eastAsia="el"/>
        </w:rPr>
        <w:t>1.</w:t>
      </w:r>
      <w:r>
        <w:rPr>
          <w:lang w:val="el" w:eastAsia="el"/>
        </w:rPr>
        <w:t xml:space="preserve"> Η παράγραφος 24 του άρθρου 4 της αριθμ. 40331/ Δ1.13521/13-9-2019 (3520/Β’/19-9-2019) απόφασης του Υπουργού Εργασίας και Κοινωνικών Υποθέσεων, αντικαθίσταται ως εξής:</w:t>
      </w:r>
    </w:p>
    <w:p>
      <w:pPr>
        <w:spacing w:before="240" w:after="240"/>
        <w:rPr>
          <w:lang w:val="el" w:eastAsia="el"/>
        </w:rPr>
      </w:pPr>
      <w:r>
        <w:rPr>
          <w:lang w:val="el" w:eastAsia="el"/>
        </w:rPr>
        <w:t>«4.24 Υπόχρεοι εργοδότες για την υποβολή του εντύπου Ε12, είναι αυτοί που καθορίζονται από τις οικείες διατάξεις του ΕΦΚΑ για την απογραφή οικοδομοτεχνικού έργου, την υποβολή της Αναλυτικής Περιοδικής Δήλωσης (ΑΠΔ), και την καταβολή των εισφορών που είναι κάτοχοι ΑΜΟΕ, καθώς και οι εργολάβοι και υπεργολάβοι που έχουν αναλάβει την εκτέλεση της οικοδομικής εργασίας ή του τεχνικού έργου. Οι ανωτέρω εργοδότες δεν υποχρεούνται σε υποβολή πίνακα προσωπικού (έντυπο Ε4) για το απασχολούμενο προσωπικό που αναγγέλλουν με το έντυπο Ε12».</w:t>
      </w:r>
    </w:p>
    <w:p>
      <w:pPr>
        <w:pStyle w:val="MainText"/>
        <w:spacing w:before="120" w:after="0"/>
        <w:rPr>
          <w:lang w:val="el" w:eastAsia="el"/>
        </w:rPr>
      </w:pPr>
      <w:r>
        <w:rPr>
          <w:b/>
          <w:bCs/>
          <w:lang w:val="el" w:eastAsia="el"/>
        </w:rPr>
        <w:t>2.</w:t>
      </w:r>
      <w:r>
        <w:rPr>
          <w:lang w:val="el" w:eastAsia="el"/>
        </w:rPr>
        <w:t xml:space="preserve"> Στο άρθρο 14 της αριθμ. 40331/Δ1.13521/13-9-2019 (3520/Β’/19-9-2019) απόφασης του Υπουργού Εργασίας και Κοινωνικών Υποθέσεων προστίθεται παράγραφος 9 ως εξής:</w:t>
      </w:r>
    </w:p>
    <w:p>
      <w:pPr>
        <w:spacing w:before="240" w:after="240"/>
        <w:rPr>
          <w:lang w:val="el" w:eastAsia="el"/>
        </w:rPr>
      </w:pPr>
      <w:r>
        <w:rPr>
          <w:lang w:val="el" w:eastAsia="el"/>
        </w:rPr>
        <w:t>«14.9 Μέχρι τη νομοθετική επαναρρύθμιση του άρθρου 33 του ν. 1836/1989 (Α’ 79), όπως αντικαταστάθηκε με το άρθρο 37 του ν. 4488/2017 (Α’ 137) και το άρθρο 59 ου ν. 4611/2019 (Α’ 73) και σε κάθε περίπτωση μέχρι 30-11-2019 οι υπόχρεοι της παραγράφου 24 του άρθρου 4 της παρούσας υπουργικής απόφασης θα μπορούν να τηρούν το Βιβλίο Ημερήσιων Δελτίων Απασχολούμενου Προσωπικού (Β.Η.ΔΑ.Π.) στην εκτέλεση οικοδομικών και τεχνικών έργων χειρόγραφα, του οποίου αντίγραφο μετά την ως άνω επαναρρύθμιση, υποχρεούνται να υποβάλλουν συγκεντρωτικά και απογραφικά στην αρμόδια Υπηρεσία του Σώματος Επιθεώρησης Εργασίας (Σ.EILE.).</w:t>
      </w:r>
    </w:p>
    <w:p>
      <w:pPr>
        <w:spacing w:before="240" w:after="240"/>
        <w:rPr>
          <w:lang w:val="el" w:eastAsia="el"/>
        </w:rPr>
      </w:pPr>
      <w:r>
        <w:rPr>
          <w:lang w:val="el" w:eastAsia="el"/>
        </w:rPr>
        <w:t>Άρθρο</w:t>
      </w:r>
    </w:p>
    <w:p>
      <w:pPr>
        <w:spacing w:before="240" w:after="240"/>
        <w:rPr>
          <w:lang w:val="el" w:eastAsia="el"/>
        </w:rPr>
      </w:pPr>
      <w:r>
        <w:rPr>
          <w:lang w:val="el" w:eastAsia="el"/>
        </w:rPr>
        <w:t>δεύτερο</w:t>
      </w:r>
    </w:p>
    <w:p>
      <w:pPr>
        <w:spacing w:before="240" w:after="240"/>
        <w:rPr>
          <w:lang w:val="el" w:eastAsia="el"/>
        </w:rPr>
      </w:pPr>
      <w:r>
        <w:rPr>
          <w:lang w:val="el" w:eastAsia="el"/>
        </w:rPr>
        <w:t>1. Κατά τα λοιπά ισχύει η αριθμ. 40331/Δ1.13521/ 13-9-2019 (3520/Β’/19-9-2019) απόφαση του Υπουργού Εργασίας και Κοινωνικών Υποθέσεων.</w:t>
      </w:r>
    </w:p>
    <w:p>
      <w:pPr>
        <w:spacing w:before="240" w:after="240"/>
        <w:rPr>
          <w:lang w:val="el" w:eastAsia="el"/>
        </w:rPr>
      </w:pPr>
      <w:r>
        <w:rPr>
          <w:lang w:val="el" w:eastAsia="el"/>
        </w:rPr>
        <w:t>2. Η απόφαση αυτή ισχύει από τη δημοσίευσή της, εκτός αν ορίζεται διαφορετικά σε επιμέρους διατάξεις.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Οκτωβρίου 2019</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