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Α.1446</w:t>
      </w:r>
    </w:p>
    <w:p>
      <w:pPr>
        <w:pStyle w:val="PreambelText"/>
        <w:spacing w:before="240" w:after="240"/>
        <w:rPr>
          <w:lang w:val="el" w:eastAsia="el"/>
        </w:rPr>
      </w:pPr>
      <w:r>
        <w:rPr>
          <w:b/>
          <w:bCs/>
          <w:lang w:val="el" w:eastAsia="el"/>
        </w:rPr>
        <w:t>Τροποποίηση της Α.1203/16-5-2019 (Β’ 1933/ 29.05.2019) απόφασης της Ανεξάρτητης Αρχής Δημοσίων Εσόδων,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παραγράφου 4 του άρθρου 126 του ν. 2960/2001 (Α' 265) «Εθνικός Τελωνειακός Κώδικας» και της παραγράφου 10 του άρθρου 123 του ν. 2960/2001,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(Α'94) και ειδικότερα του άρθρου 7, της παραγράφου 1 του άρθρου 14 και του άρθρου 41 αυτού.</w:t>
      </w:r>
    </w:p>
    <w:p>
      <w:pPr>
        <w:pStyle w:val="PreambelText"/>
        <w:spacing w:before="240" w:after="240"/>
        <w:rPr>
          <w:lang w:val="el" w:eastAsia="el"/>
        </w:rPr>
      </w:pPr>
      <w:r>
        <w:rPr>
          <w:lang w:val="el" w:eastAsia="el"/>
        </w:rPr>
        <w:t>2. Την αριθμ. Δ.ΟΡΓ.Α 1036960ΕΞ2017/10.03.2017 (Β’ 968), απόφαση του Διοικητή της Ανεξάρτητης Αρχής Δημοσίων Εσόδων «Οργανισμός της Ανεξάρτητης Αρχής Δημοσίων Εσόδων (A.A.Δ.Ε.), όπως ισχύει.</w:t>
      </w:r>
    </w:p>
    <w:p>
      <w:pPr>
        <w:pStyle w:val="PreambelText"/>
        <w:spacing w:before="240" w:after="240"/>
        <w:rPr>
          <w:lang w:val="el" w:eastAsia="el"/>
        </w:rPr>
      </w:pPr>
      <w:r>
        <w:rPr>
          <w:lang w:val="el" w:eastAsia="el"/>
        </w:rPr>
        <w:t>3.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4.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υπ' αριθμ. 39/3/30.11.2017 απόφαση του Συμβουλίου Διοίκησης της Α.Α.Δ.Ε. (Υ.Ο.Δ.Δ. 689/20.12.2017) «Ανανέωση θητείας του Διοικητή της Ανεξάρτητης Αρχής Δημοσίων Εσόδων».</w:t>
      </w:r>
    </w:p>
    <w:p>
      <w:pPr>
        <w:pStyle w:val="PreambelText"/>
        <w:spacing w:before="240" w:after="240"/>
        <w:rPr>
          <w:lang w:val="el" w:eastAsia="el"/>
        </w:rPr>
      </w:pPr>
      <w:r>
        <w:rPr>
          <w:lang w:val="el" w:eastAsia="el"/>
        </w:rPr>
        <w:t>5. Την αριθμ. Δ19Α 5041533 ΕΞ 2013/2-12-2013 (ΦΕΚ Β’ 3051/2-12-2013) ΑΥΟ «Καθιέρωση πληροφορικού συστήματος ICISnet και ηλεκτρονικών συναλλαγών, σε πλήρη εφαρμογή».</w:t>
      </w:r>
    </w:p>
    <w:p>
      <w:pPr>
        <w:pStyle w:val="PreambelText"/>
        <w:spacing w:before="240" w:after="240"/>
        <w:rPr>
          <w:lang w:val="el" w:eastAsia="el"/>
        </w:rPr>
      </w:pPr>
      <w:r>
        <w:rPr>
          <w:lang w:val="el" w:eastAsia="el"/>
        </w:rPr>
        <w:t>6. Την αριθμ. ΔΕΦΚ 5041345 ΕΞ 2013/28-11-2013 ΕΔΥΟ «Οδηγίες για τη λειτουργία του υποσυστήματος ΕΙΔΙΚΩΝ ΦΟΡΩΝ ΚΑΤΑΝΑΛΩΣΗΣ στο ICISnet».</w:t>
      </w:r>
    </w:p>
    <w:p>
      <w:pPr>
        <w:pStyle w:val="PreambelText"/>
        <w:spacing w:before="240" w:after="240"/>
        <w:rPr>
          <w:lang w:val="el" w:eastAsia="el"/>
        </w:rPr>
      </w:pPr>
      <w:r>
        <w:rPr>
          <w:lang w:val="el" w:eastAsia="el"/>
        </w:rPr>
        <w:t>7. Την ΔΤΔ Α 1184721 ΕΞ 2016/16-12-2016 (ΦΕΚ Β’ 4488/30-12-2016) απόφαση Γενικού Γραμματέα Δημοσίων Εσόδων «Υποχρεωτική ηλεκτρονική υποβολή των υποστηρικτικών της διασάφησης εισαγωγής εγγράφων Τήρηση αρχείου».</w:t>
      </w:r>
    </w:p>
    <w:p>
      <w:pPr>
        <w:pStyle w:val="PreambelText"/>
        <w:spacing w:before="240" w:after="240"/>
        <w:rPr>
          <w:lang w:val="el" w:eastAsia="el"/>
        </w:rPr>
      </w:pPr>
      <w:r>
        <w:rPr>
          <w:lang w:val="el" w:eastAsia="el"/>
        </w:rPr>
        <w:t>8. Την αριθμ. Α.1203/16-5-2019 (Β’ 1933/29.05.2019) απόφαση της ΑΑΔΕ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p>
    <w:p>
      <w:pPr>
        <w:pStyle w:val="PreambelText"/>
        <w:spacing w:before="240" w:after="240"/>
        <w:rPr>
          <w:lang w:val="el" w:eastAsia="el"/>
        </w:rPr>
      </w:pPr>
      <w:r>
        <w:rPr>
          <w:lang w:val="el" w:eastAsia="el"/>
        </w:rPr>
        <w:t>9. Την ανάγκη παράτασης της προθεσμίας για την υποχρεωτική ηλεκτρονική υποβολή των επισυναπτόμενων, στην Ειδική Δήλωση, δικαιολογητικών εγγράφων για τον προσδιορισμό της φορολογητέας αξίας, προκειμένου να δοθεί ο απαραίτητος χρόνος προσαρμογής και να αποφευχθούν καθυστερήσεις στον προσδιορισμό της φορολογητέας αξίας των αυτοκινήτων οχημάτων.</w:t>
      </w:r>
    </w:p>
    <w:p>
      <w:pPr>
        <w:pStyle w:val="PreambelText"/>
        <w:spacing w:before="240" w:after="240"/>
        <w:rPr>
          <w:lang w:val="el" w:eastAsia="el"/>
        </w:rPr>
      </w:pPr>
      <w:r>
        <w:rPr>
          <w:lang w:val="el" w:eastAsia="el"/>
        </w:rPr>
        <w:t>10.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δεύτερη παράγραφος του άρθρου 15 της αριθμ. Α.1203/16-5-2019 (Β’ 1933/29.05.2019) απόφασης της ΑΑΔΕ, αντικαθίσταται ως εξής:</w:t>
      </w:r>
    </w:p>
    <w:p>
      <w:pPr>
        <w:spacing w:before="240" w:after="240"/>
        <w:rPr>
          <w:lang w:val="el" w:eastAsia="el"/>
        </w:rPr>
      </w:pPr>
      <w:r>
        <w:rPr>
          <w:lang w:val="el" w:eastAsia="el"/>
        </w:rPr>
        <w:t>«2. Η Υποχρεωτική υποβολή των επισυναπτόμενων, στην Ειδική Δήλωση, δικαιολογητικών εγγράφων, όπως ορίζεται στο άρθρο 14 της παρούσας απόφασης, που αφορούν σε μεταχειρισμένα οχήματα για τα τελωνεία των νομών Αττικής και Θεσσαλονίκης αρχίζει την 1 Μαρτίου 2020. Τα εν λόγω τελωνεία αποστέλλουν με κάθε πρόσφορο μέσο τα παραστατικά και τα επισυναπτόμενα δικαιολογητικά έγγραφα στις αρμόδιες Τελωνειακές Περιφέρειες για τον προσδιορισμό/καθορισμό της φορολογητέας αξίας».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Δεκεμβρίου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