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43400/3824</w:t>
      </w:r>
    </w:p>
    <w:p>
      <w:pPr>
        <w:spacing w:before="240" w:after="240"/>
        <w:rPr>
          <w:lang w:val="el" w:eastAsia="el"/>
        </w:rPr>
      </w:pPr>
      <w:r>
        <w:rPr>
          <w:b/>
          <w:bCs/>
          <w:lang w:val="el" w:eastAsia="el"/>
        </w:rPr>
        <w:t>Παράταση προθεσμίας του άρθρου 13 του ν. 4611/2019 (Α’ 73).</w:t>
      </w:r>
    </w:p>
    <w:p>
      <w:pPr>
        <w:spacing w:before="240" w:after="240"/>
        <w:rPr>
          <w:lang w:val="el" w:eastAsia="el"/>
        </w:rPr>
      </w:pPr>
      <w:r>
        <w:rPr>
          <w:b/>
          <w:bCs/>
          <w:lang w:val="el" w:eastAsia="el"/>
        </w:rPr>
        <w:t>Ο ΥΠΟΥΡΓΟΣ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18 του ν. 4611/2019 (Α’ 73)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w:t>
      </w:r>
    </w:p>
    <w:p>
      <w:pPr>
        <w:spacing w:before="240" w:after="240"/>
        <w:rPr>
          <w:lang w:val="el" w:eastAsia="el"/>
        </w:rPr>
      </w:pPr>
      <w:r>
        <w:rPr>
          <w:lang w:val="el" w:eastAsia="el"/>
        </w:rPr>
        <w:t>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4. Το π.δ. 84/2019 «Σύσταση και κατάργηση Γενικών Γραμματειών και Ειδικών Γραμματειών / Ενιαίων Διοικητικών Τομέων» (Α’123).</w:t>
      </w:r>
    </w:p>
    <w:p>
      <w:pPr>
        <w:spacing w:before="240" w:after="240"/>
        <w:rPr>
          <w:lang w:val="el" w:eastAsia="el"/>
        </w:rPr>
      </w:pPr>
      <w:r>
        <w:rPr>
          <w:lang w:val="el" w:eastAsia="el"/>
        </w:rPr>
        <w:t>5. Το π.δ. 134/2017 «Οργανισμός Υπουργείου Εργασίας, Κοινωνικής Ασφάλισης και Κοινωνικής Αλληλεγγύης» (Α’ 168), όπως τροποποιήθηκε και ισχύει.</w:t>
      </w:r>
    </w:p>
    <w:p>
      <w:pPr>
        <w:spacing w:before="240" w:after="240"/>
        <w:rPr>
          <w:lang w:val="el" w:eastAsia="el"/>
        </w:rPr>
      </w:pPr>
      <w:r>
        <w:rPr>
          <w:lang w:val="el" w:eastAsia="el"/>
        </w:rPr>
        <w:t>6. Τη με αριθμ. 43389/362/30.9.2019, «Εισηγητική Έκθεση οικονομικών επιπτώσεων σύμφωνα με το άρθρο 24 παρ. 5 του ν. 4270/2014 (ΦΕΚ 143 Α’)» της ΓΔΟΥ.</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Η προθεσμία του άρθρου 13 του ν. 4611/2019 (Α’ 73) παρατείνεται μέχρι και την 7.10.2019.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Σεπτεμβρίου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