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Ω1ΓΖ46ΜΠ3Ζ-7Ω1</w:t>
      </w:r>
    </w:p>
    <w:p>
      <w:pPr>
        <w:spacing w:before="240" w:after="240"/>
        <w:rPr>
          <w:lang w:val="el" w:eastAsia="el"/>
        </w:rPr>
      </w:pPr>
      <w:r>
        <w:rPr>
          <w:b/>
          <w:bCs/>
          <w:lang w:val="el" w:eastAsia="el"/>
        </w:rPr>
        <w:t>ΑΡΙΘ. ΦΕΚ:85 B / 24.01.2020</w:t>
      </w:r>
    </w:p>
    <w:p>
      <w:pPr>
        <w:spacing w:before="240" w:after="240"/>
        <w:rPr>
          <w:lang w:val="el" w:eastAsia="el"/>
        </w:rPr>
      </w:pPr>
      <w:r>
        <w:rPr>
          <w:lang w:val="el" w:eastAsia="el"/>
        </w:rPr>
        <w:t xml:space="preserve">1. </w:t>
      </w:r>
      <w:r>
        <w:rPr>
          <w:b/>
          <w:bCs/>
          <w:lang w:val="el" w:eastAsia="el"/>
        </w:rPr>
        <w:t>ΓΕΝΙΚΗ ΔΙΕΥΘΥΝΣΗ ΗΛΕΚΤΡΟΝΙΚΗΣ ΔΙΑΚΥΒΕΡΝΗΣΗΣ</w:t>
      </w:r>
    </w:p>
    <w:p>
      <w:pPr>
        <w:spacing w:before="240" w:after="240"/>
        <w:rPr>
          <w:lang w:val="el" w:eastAsia="el"/>
        </w:rPr>
      </w:pPr>
      <w:r>
        <w:rPr>
          <w:b/>
          <w:bCs/>
          <w:lang w:val="el" w:eastAsia="el"/>
        </w:rPr>
        <w:t>ΔΙΕΥΘΥΝΣΗ ΔΙΑΧΕΙΡΙΣΗΣ ΥΠΟΔΟΜΩΝ ΤΜΗΜΑ Ε’</w:t>
      </w:r>
    </w:p>
    <w:p>
      <w:pPr>
        <w:spacing w:before="240" w:after="240"/>
        <w:rPr>
          <w:lang w:val="el" w:eastAsia="el"/>
        </w:rPr>
      </w:pPr>
      <w:r>
        <w:rPr>
          <w:lang w:val="el" w:eastAsia="el"/>
        </w:rPr>
        <w:t>Ταχ. Δ/νση : Θεσ/κης&amp; Χανδρή 1</w:t>
      </w:r>
    </w:p>
    <w:p>
      <w:pPr>
        <w:spacing w:before="240" w:after="240"/>
        <w:rPr>
          <w:lang w:val="el" w:eastAsia="el"/>
        </w:rPr>
      </w:pPr>
      <w:r>
        <w:rPr>
          <w:lang w:val="el" w:eastAsia="el"/>
        </w:rPr>
        <w:t>Ταχ. Κώδικας : 18346 ΜΟΣΧΑΤΟ</w:t>
      </w:r>
    </w:p>
    <w:p>
      <w:pPr>
        <w:spacing w:before="240" w:after="240"/>
        <w:rPr>
          <w:lang w:val="el" w:eastAsia="el"/>
        </w:rPr>
      </w:pPr>
      <w:r>
        <w:rPr>
          <w:lang w:val="el" w:eastAsia="el"/>
        </w:rPr>
        <w:t>Τηλέφωνο : 213-1621133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didypod.5@aade.gr</w:t>
        </w:r>
      </w:hyperlink>
    </w:p>
    <w:p>
      <w:pPr>
        <w:spacing w:before="240" w:after="240"/>
        <w:rPr>
          <w:lang w:val="el" w:eastAsia="el"/>
        </w:rPr>
      </w:pPr>
      <w:r>
        <w:rPr>
          <w:lang w:val="el" w:eastAsia="el"/>
        </w:rPr>
        <w:t xml:space="preserve">Url : </w:t>
      </w:r>
      <w:hyperlink r:id="rId5" w:history="1">
        <w:r>
          <w:rPr>
            <w:rStyle w:val="Hyperlink"/>
            <w:color w:val="0000EE"/>
            <w:u w:color="0000EE"/>
            <w:lang w:val="el" w:eastAsia="el"/>
          </w:rPr>
          <w:t>www.aade.gr</w:t>
        </w:r>
      </w:hyperlink>
    </w:p>
    <w:p>
      <w:pPr>
        <w:spacing w:before="240" w:after="240"/>
        <w:rPr>
          <w:lang w:val="el" w:eastAsia="el"/>
        </w:rPr>
      </w:pPr>
      <w:r>
        <w:rPr>
          <w:lang w:val="el" w:eastAsia="el"/>
        </w:rPr>
        <w:t xml:space="preserve">2. </w:t>
      </w: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 Αθήνα</w:t>
      </w:r>
    </w:p>
    <w:p>
      <w:pPr>
        <w:spacing w:before="240" w:after="240"/>
        <w:rPr>
          <w:lang w:val="el" w:eastAsia="el"/>
        </w:rPr>
      </w:pPr>
      <w:r>
        <w:rPr>
          <w:lang w:val="el" w:eastAsia="el"/>
        </w:rPr>
        <w:t>: 210-3627090, 210- 3610030</w:t>
      </w:r>
    </w:p>
    <w:p>
      <w:pPr>
        <w:spacing w:before="240" w:after="240"/>
        <w:rPr>
          <w:lang w:val="el" w:eastAsia="el"/>
        </w:rPr>
      </w:pPr>
      <w:r>
        <w:rPr>
          <w:b/>
          <w:bCs/>
          <w:lang w:val="el" w:eastAsia="el"/>
        </w:rPr>
        <w:t>Θέμα: «Απόσυρση από την χρήση μοντέλων Φορολογικών Ηλεκτρονικών Μηχανισμών (ΦΗΜ), που έλαβαν άδεια καταλληλότητας με βάση τις Α.Υ.Ο.Ο. ΠΟΛ. 1234/9.10.2002 (1362Β΄) και ΠΟΛ1135/26-10- 2005 (1592Β΄), εκτός των Ε.Α.Φ.Δ.Σ.Σ. και των ΑΔΗΜΕ Ταξιμέτρων»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ΔΙΟΙΚΗΤΗΣ ΤΗΣ ΑΝΕΞΑΡΤΗΤΗΣ ΑΡΧΗΣ ΔΗΜΟΣΙΩΝΕΣΟΔΩΝ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 4308/2014 (A’ 251) «Eλληνικά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Α.Υ.Ο.Ο. ΠΟΛ 1234/9.10.2002 (ΦΕΚ 136Β΄/23-10-2002) «Τεχνικές προδιαγραφές φορολογικών ηλεκτρονικών μηχανισμών και συστημάτων».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Α.Υ.Ο.Ο. ΠΟΛ 1135/26.10.2005 (ΦΕΚ 1592Β΄/17-11-2005) «Κωδικοποίηση και συμπλήρωση τεχνικών προδιαγραφών φορολογικών ηλεκτρονικών μηχανισμών και συστημάτων - διαδικασίες χρήσης και λειτουργίας τους. (Αρ. Πρ. 1100772/1474/0015)»</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Α.Υ.Ο.Ο. ΠΟΛ 1063/26.3.2008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Α.Υ.Ο.Ο. ΠΟΛ 1285/31.12.2013 (ΦΕΚ Β΄54/16-1-2014) «Τροποποίηση της Α.Υ.Ο.Ο./ΠΟΛ.1015/10.1.2012 (ΦΕΚ Β΄257/13.2.2012) «Χρονικά όρια δυνατότητας διάθεσης ΦΗΜ και φορολογικών μνημών»</w:t>
      </w:r>
    </w:p>
    <w:p>
      <w:pPr>
        <w:pStyle w:val="StructureList1"/>
        <w:spacing w:before="120" w:after="0"/>
        <w:rPr>
          <w:lang w:val="el" w:eastAsia="el"/>
        </w:rPr>
      </w:pPr>
      <w:r>
        <w:rPr>
          <w:b/>
          <w:bCs/>
          <w:lang w:val="el" w:eastAsia="el"/>
        </w:rPr>
        <w:t>ζ)</w:t>
      </w:r>
      <w:r>
        <w:rPr>
          <w:b/>
          <w:bCs/>
          <w:lang w:val="en" w:eastAsia="en"/>
        </w:rPr>
        <w:tab/>
      </w:r>
      <w:r>
        <w:rPr>
          <w:b/>
          <w:bCs/>
          <w:lang w:val="el" w:eastAsia="el"/>
        </w:rPr>
        <w:t>Της Α.Υ.Ο.Ο. ΠΟΛ 1062/21.2.2014 (ΦΕΚ Β΄592/10-3-2014) «Τροποποίηση της Α.Υ.Ο.Ο. ΠΟΛ1285/31.12.2013 (ΦΕΚ Β΄54/16.1.2014) «Χρονικά όρια δυνατότητας διάθεσης Φ.Η.Μ. και φορολογικών μνημών».</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θ)</w:t>
      </w:r>
      <w:r>
        <w:rPr>
          <w:b/>
          <w:bCs/>
          <w:lang w:val="en" w:eastAsia="en"/>
        </w:rPr>
        <w:tab/>
      </w:r>
      <w:r>
        <w:rPr>
          <w:b/>
          <w:bCs/>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b/>
          <w:bCs/>
          <w:lang w:val="el" w:eastAsia="el"/>
        </w:rPr>
        <w:t>ι)</w:t>
      </w:r>
      <w:r>
        <w:rPr>
          <w:b/>
          <w:bCs/>
          <w:lang w:val="en" w:eastAsia="en"/>
        </w:rPr>
        <w:tab/>
      </w:r>
      <w:r>
        <w:rPr>
          <w:b/>
          <w:bCs/>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3. Την με αριθμ. 5294 ΕΞ 2020/17.1.2020 απόφαση του Υπουργού Οικονομικών (ΦΕΚ 27 Υ.Ο.Δ.Δ./17-1-2020) «Ανανέωση της θητείας του Διοικητή της Α.Α.Δ.Ε.».</w:t>
      </w:r>
    </w:p>
    <w:p>
      <w:pPr>
        <w:spacing w:before="240" w:after="240"/>
        <w:rPr>
          <w:lang w:val="el" w:eastAsia="el"/>
        </w:rPr>
      </w:pPr>
      <w:r>
        <w:rPr>
          <w:b/>
          <w:bCs/>
          <w:lang w:val="el" w:eastAsia="el"/>
        </w:rPr>
        <w:t>4.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w:t>
      </w:r>
      <w:r>
        <w:rPr>
          <w:b/>
          <w:bCs/>
          <w:lang w:val="el" w:eastAsia="el"/>
        </w:rPr>
        <w:t>Την απόσυρση από την χρήση των αναφερομένων στον παρακάτω πίνακα μοντέλων Φ.Η.Μ., εξαιρουμένων των Ε.Α.Φ.Δ.Σ.Σ. και των ΑΔΗΜΕ Ταξιμέτρων, που έχουν λάβει άδεια καταλληλότητας σύμφωνα με τις Τεχνικές Προδιαγραφές της Α.Υ.Ο.Ο. ΠΟΛ.1135/26-10-2005 (159Β΄) ή της Α.Υ.Ο.Ο. ΠΟΛ 1234/9.10.2002 (136Β΄).</w:t>
      </w:r>
    </w:p>
    <w:p>
      <w:pPr>
        <w:spacing w:before="240" w:after="240"/>
        <w:rPr>
          <w:lang w:val="el" w:eastAsia="el"/>
        </w:rPr>
      </w:pPr>
      <w:r>
        <w:rPr>
          <w:b/>
          <w:bCs/>
          <w:lang w:val="el" w:eastAsia="el"/>
        </w:rPr>
        <w:t>Β.</w:t>
      </w:r>
      <w:r>
        <w:rPr>
          <w:b/>
          <w:bCs/>
          <w:lang w:val="el" w:eastAsia="el"/>
        </w:rPr>
        <w:t xml:space="preserve">Η απόσυρση από την χρήση των ανωτέρω τύπων Φ.Η.Μ., ολοκληρώνεται υποχρεωτικά μέχρι την </w:t>
      </w:r>
      <w:r>
        <w:rPr>
          <w:b/>
          <w:bCs/>
          <w:lang w:val="el" w:eastAsia="el"/>
        </w:rPr>
        <w:t>31-5-2020.</w:t>
      </w:r>
    </w:p>
    <w:p>
      <w:pPr>
        <w:spacing w:before="240" w:after="240"/>
        <w:rPr>
          <w:lang w:val="el" w:eastAsia="el"/>
        </w:rPr>
      </w:pPr>
      <w:r>
        <w:rPr>
          <w:b/>
          <w:bCs/>
          <w:lang w:val="el" w:eastAsia="el"/>
        </w:rPr>
        <w:t xml:space="preserve">Γ </w:t>
      </w:r>
      <w:r>
        <w:rPr>
          <w:b/>
          <w:bCs/>
          <w:lang w:val="el" w:eastAsia="el"/>
        </w:rPr>
        <w:t>Κατόπιν των ανωτέρω, παραθέτουμε πίνακα των προς απόσυρση τύπων/ μοντέλων Φ.Η.Μ., με τον αντίστοιχο αριθμό έγκρισης (άδεια καταλληλότητας),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4340"/>
        <w:gridCol w:w="3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ΜΟΝΤΕΛΟΥ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ΕΓΚΡΙΣΗΣ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LD201G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ΠΛΩ 279/22-07-2003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SYNTHEX 900P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ΠΥΞ 280/22-07-2003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 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ΠΞΘ 281/22-07-2003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FGL 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ΠΘΕ 282/22-07-2003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DEM-204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ΠΔΣ 297/19-12-2003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PBM PE1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ΘΓ 298/22-12-2003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GAS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ΠΑΟ 300/12-01-2004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PETROL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ΠΘΔ 301/16-01-2004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GAS PUMP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ΠΦΛ 302/20-02-2004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FUEL MANAGER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ΠΟΑ 303/26-02-2004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REAL POS 7167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ΔΧΨ 304/26-02-2004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PBM NE1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ΘΖ 306/13-05-2004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ERGO SPEED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ΔΕΨ 307/13-05-2004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FS MICROFISCAL PFP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ΠΗΦ 308/13-05-2004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FE5000G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ΕΥ 309/20-05-2004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ER-350F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 310/03-06-2004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POSI FISCAL II/C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ΔΧΠ 311/03-06-2004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SAMSUNG FISCAL 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ΔΗΧ 312/15-06-2004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4610-KH5 SURE MARK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ΠΟΒ 313/15-06-2004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SYNTHEX 550 ACR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ΣΧ 314/01-07-2004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ARCADIA 6010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ΓΕ 315/22-07-2004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ER-420M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ΓΩ 316/11-10-2004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ΣΩ 317/11-10-2004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ER-5240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ΧΩ 318/11-10-2004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LD-90 FISCAL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ΔΛΔ 319/08-11-2004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MF-EJ210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ΔΗΝ 320/08-11-2004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4159"/>
        <w:gridCol w:w="31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SYNTHEX 450 EJR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ΛΥ 321/16-12-2004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REALPOS 7197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ΔΤΞ 322/16-12-2004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 EPSON 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ΔΚΓ 323/17-02-2005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SOLIDUS ST-50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ΣΔ 324/04-03-2005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QUORION CR30T2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ΘΠ 325/18-04-2005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JUNIOR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ΟΧ 326/18-04-2005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DL-80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ΝΠ 327/17-05-2005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PBM NE-2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ΘΗ 328/13-07-2005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HITECH 458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ΑΞ 329/02-08-2005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HITECH 458G-REST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ΕΞ 330/02-08-2005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ΩΔ 331/02-08-2005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GIOTTO-B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ΡΠ 334/13-12-2005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GIOTTO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ΡΓ 335/13-12-2005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XT-NEW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ΗΖ 336/13-12-2005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SHARP ER-A227G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ΣΗ 337/20-12-2005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DR 570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ΔΡ 338/20-12-2005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628 FISCAL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ΛΕ 339/20-12-2005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DCR MICROTHERM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ΔΒ 340/09-02-2006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DCR LADYTHERM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ΔΛ 341/09-02-2006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ELEGANT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ΚΗ 342/16-02-2006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EXTRA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ΚΘ 343/02-03-2006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ΦΒ 344/17-05-2006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ΔΩ 345/17-05-2006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ΤΨ 346/12-07-2006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S-2020R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ΣΖ 347/12-07-2006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MERCURY 130F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ΦΗ 348/12-07-2006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ΝΛ 349/06-09-2006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EURO-2100MP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ΚΜ 350/06-09-2006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ΒΤ 351/06-09-2006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EUROSHOP 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ΤΦ 352/27-10-2006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ΤΩ 353/03-11-2006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EUROSMART 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ΒΖ 354/03-11-2006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ZIP 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ΒΨ 355/03-11-2006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EASY FISCAL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ΔΥΓ 356/29-11-2006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ELEGANT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ΦΥ 357/29-11-2006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ΩΒ 361/15-02-2007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COSMOS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ΦΨ 362/15-02-2007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COSMOS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ΥΚ 363/15-02-2007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ΣΘ 364/15-02-2007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ΘΙ 365/22-02-2007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CASH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ΠΘ 366/22-03-2007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ΨΩ 367/22-03-2007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NATIONAL OPALINA 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ΩΧ 368/22-03-2007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ΨΑ 369/22-03-2007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EURO-200TX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ΘΡ 370/21-06-2007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MERCURY 140F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ΦΖ 371/21-06-2007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4878"/>
        <w:gridCol w:w="32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PALMAR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ΩΖ 373/02-08-2007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INFO CARINA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ΨΒ 374/02-08-2007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SERENE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ΔΧ 376/02-08-2007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SUPER 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ΘΣ 377/02-08-2007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QUORION CR 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ΠΖ 378/21-01-2008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GTM-100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ΣΙ 379/21-01-2008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TE-300F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ΧΒ 380/21-01-2008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CRF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ΙΓ 381/21-01-2008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TOSHIBA FISCAL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ΚΩ 382/21-01-2008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ASTERIAS SERENA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ΨΔ 383/28-01-2008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MF-EJ320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ΔΑΖ 384/13-03-2008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ER-260BF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ΛΧ 385/13-03-2008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FPU-EJ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ΔΝΧ 386/13-03-2008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CASH 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ΓΚ 387/13-03-2008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SUPERAMERICA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ΛΗ 388/13-03-2008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ER-497G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ΓΑ 389/15-05-2008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SOLIDUS ST-500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ΣΞ 390/15-05-2008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PBM NE-3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ΠΞ 391/15-05-2008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GB3α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ΔΘΚ 392/15-05-2008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GB5β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ΔΛΒ 393/15-05-2008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GR3γ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ΔΨΓ 394/15-05-1908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GB5δ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ΔΩΓ 395/15-05-2008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SATURNO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ΨΕ 396/15-05-2008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Open Cash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ΦΤ 397/10-07-2008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TEPSON TM-81F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ΔΒΝ 398/10-07-2008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LINEA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ΘΤ 399/10-07-2008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NESSO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ΨΖ 400/10-07-2008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MICROPOS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ΓΖ 401/10-07-2008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ARCADIA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ΣΥ 402/22-10-2008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WISDOR CRD81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ΓΘ 403/22-10-2008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AS220 FISCAL AEPSON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ΑΨ 404/22-10-2008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NORIKO N-58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ΓΙ 405/22-10-2008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ER-357G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ΓΞ 406/16-12-2008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MF-EJ210A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ΔΛΟ 408/16-12-2008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CRF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ΦΘ 409/12-05-2009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CASH 2300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ΠΦ 410/12-05-2009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NORIKO A-28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ΘΛ 411/26-06-2009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NORIKO A-38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ΦΝ 412/26-06-2009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ACLAS CR68AF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ΛΓ 413/26-06-2009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NOZOMI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ΣΦ 414/26-06-2009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ΓΟ 416/30-09-2009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SERENE ENERGY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ΣΨ 417/30-09-2009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EPSON FP-81F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ΓΠ 419/30-09-2009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FE-5100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ΓΨ 420/26-11-2009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ER-230F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ΘΧ 422/26-11-2009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CARAT FAVOURITE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ΛΖ 425/26-11-2009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4202"/>
        <w:gridCol w:w="32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ΦΙ 427/31-03-2010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QUORION CR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ΠΩ 429/11-05-2010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DR-570-LT V2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ΘΩ 430/11-05-2010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ERGOSPEED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ΔΒΩ 433/28-05-2010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CARAT MOBILE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ΒΔ 434/28-05-2010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POCKET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ΒΞ 435/28-05-2010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ER-A285G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ΘΨ 437/04-06-2010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WISDOR CRL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ΗΩ 438/04-06-2010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PROLINE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ΨΚ 439/04-05-2010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HITEC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ΨΛ 440/04-06-2010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HITEC PLUS -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ΩΗ 441/04-06-2010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DI50 / 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ΨΘ 442/15-06-2010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NCR REAL POS 7167-2011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ΔΖΓ 443/15-06-2010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DL - 90 EXPRESS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ΩΤ 444/15-06-2010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MY CASH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ΨΗ 445/25-06-2010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 - A295G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ΛΚ 446/25-06-2010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RBS - MERCAT0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ΩΣ 447/25-06-2010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INFO CARINA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ΨΧ 448/25-06-2010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GTM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ΨΙ 450/02-07-2010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ELEGANT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ΨΤ 451/02-07-2010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SCIROCCO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ΩΥ 452/02-07-2010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NORMA MOBILE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ΩΝ 453/02-07-2010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INFO CARINA i28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ΜΩ 457/19-07-2010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 4S ER-420 MF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ΩΟ 458/19-07-2010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ΛΙ 459/28-07-2010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ICS EXTRA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ΟΠ 460/28-07-2010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ADMATE PLUS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ΜΘ 462/28-07-2010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MERCURY 230F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ΔΝ 463/28-07-2010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S-710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ΩΨ 465/07-10-2010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CRF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ΘΦ 466/07-10-2010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LINDOS PORTABLE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ΨΠ 468/25-11-2010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Posi Fiscal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ΔΘΥ 469/28-12-2010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KB3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ΔΛΣ 470/28-12-2010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GRILLO / 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ΟΞ 471/16-02-2011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HITEC REST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ΚΞ 472/07-04-2011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OLIVETTI CRF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ΙΨ 473/07-04-2011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DATECS CTR400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ΘΞ 474/26-05-2011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ER-380F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ΖΘ 476/30-06-2011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i-POS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ΖΩ 477/21-07-2011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CASIO TE-350F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ΩΛ 478/21-07-2011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DPS NEON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ΚΨ 479/06-10-2011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EasyJ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ΩΚ 480/06-10-2011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DATECS CTR200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ΨΦ 481/06-10-2011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SAM4S ER-430M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ΡΣ 482/06-10-2011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QUORION QMP50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ΩΠ 485/28-12-2011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INFO CARINA 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ΟΘ 486/29-03-2012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4388"/>
        <w:gridCol w:w="33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ACR ER-460EJ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ΟΣ 487/25-04-2012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KOSMOLINE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ΛΘ 488/25-04-2012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DCR NOZOMI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ΨΡ 489/31-10-2012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KOSMOLINE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ΨΣ 490/31-10-2012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MF - EJ320A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ΔΨΝ 491/31-10-2012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MF - EJ210B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ΔΧΛ 492/31-10-2012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PBM NE-5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ΧΘ 493/15-11-2012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GB3μ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ΔΨΜ 494/15-11-2012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GR3τ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ΔΥΣ 495/15-11-2012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RBS MERCATO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ΨΥ 496/15-01-2013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TEPSON - 6000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ΔΡΦ 497/27-05-2013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SAREMA POINT / 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ΝΨ 498/12-06-2013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ΚΒ3γ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ΔΖΠ 499/13-11-2013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GB3ε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ΔΚΡ 500/13-11-2013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IBM 4610 SureMark Model GR3ι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ΔΧΕ 501/13-11-2013</w:t>
            </w:r>
          </w:p>
        </w:tc>
      </w:tr>
    </w:tbl>
    <w:p>
      <w:pPr>
        <w:spacing w:before="240" w:after="240"/>
        <w:rPr>
          <w:lang w:val="el" w:eastAsia="el"/>
        </w:rPr>
      </w:pPr>
      <w:r>
        <w:rPr>
          <w:b/>
          <w:bCs/>
          <w:lang w:val="el" w:eastAsia="el"/>
        </w:rPr>
        <w:t xml:space="preserve">Δ. </w:t>
      </w:r>
      <w:r>
        <w:rPr>
          <w:b/>
          <w:bCs/>
          <w:lang w:val="el" w:eastAsia="el"/>
        </w:rPr>
        <w:t xml:space="preserve">Οι κάτοχοι των ανωτέρω τύπων ΦΗΜ, υποχρεούνται να δηλώσουν μέχρι την </w:t>
      </w:r>
      <w:r>
        <w:rPr>
          <w:b/>
          <w:bCs/>
          <w:lang w:val="el" w:eastAsia="el"/>
        </w:rPr>
        <w:t>31-5-2020</w:t>
      </w:r>
      <w:r>
        <w:rPr>
          <w:b/>
          <w:bCs/>
          <w:lang w:val="el" w:eastAsia="el"/>
        </w:rPr>
        <w:t xml:space="preserve">, την παύση αυτών. Η δήλωση παύσης γίνεται στο </w:t>
      </w:r>
      <w:r>
        <w:rPr>
          <w:b/>
          <w:bCs/>
          <w:lang w:val="el" w:eastAsia="el"/>
        </w:rPr>
        <w:t>υποσύστημα taxisnet (έντυπο Δ13)</w:t>
      </w:r>
      <w:r>
        <w:rPr>
          <w:b/>
          <w:bCs/>
          <w:lang w:val="el" w:eastAsia="el"/>
        </w:rPr>
        <w:t>, εφόσον έχει εκδοθεί πρόσφατο, ήτοι εντός των τελευταίων δέκα (10) ημερών, τελικό Δελτίο Ημερήσιας Κίνησης «Ζ».</w:t>
      </w:r>
    </w:p>
    <w:p>
      <w:pPr>
        <w:spacing w:before="240" w:after="240"/>
        <w:rPr>
          <w:lang w:val="el" w:eastAsia="el"/>
        </w:rPr>
      </w:pPr>
      <w:r>
        <w:rPr>
          <w:b/>
          <w:bCs/>
          <w:lang w:val="el" w:eastAsia="el"/>
        </w:rPr>
        <w:t xml:space="preserve">Υποβολή δήλωσης παύσης στην </w:t>
      </w:r>
      <w:r>
        <w:rPr>
          <w:b/>
          <w:bCs/>
          <w:lang w:val="el" w:eastAsia="el"/>
        </w:rPr>
        <w:t xml:space="preserve">αρμόδια Δ.Ο.Υ., </w:t>
      </w:r>
      <w:r>
        <w:rPr>
          <w:b/>
          <w:bCs/>
          <w:lang w:val="el" w:eastAsia="el"/>
        </w:rPr>
        <w:t>των ανωτέρω τύπων ΦΗΜ έως την ανωτέρω οριζόμενη προθεσμία, συντρέχει στις παρακάτω περιπτώσεις:</w:t>
      </w:r>
    </w:p>
    <w:p>
      <w:pPr>
        <w:spacing w:before="240" w:after="240"/>
        <w:rPr>
          <w:lang w:val="el" w:eastAsia="el"/>
        </w:rPr>
      </w:pPr>
      <w:r>
        <w:rPr>
          <w:b/>
          <w:bCs/>
          <w:lang w:val="el" w:eastAsia="el"/>
        </w:rPr>
        <w:t>1) Εκπρόθεσμης δήλωσης παύσης ή απώλειας ΦΗΜ</w:t>
      </w:r>
    </w:p>
    <w:p>
      <w:pPr>
        <w:spacing w:before="240" w:after="240"/>
        <w:rPr>
          <w:lang w:val="el" w:eastAsia="el"/>
        </w:rPr>
      </w:pPr>
      <w:r>
        <w:rPr>
          <w:b/>
          <w:bCs/>
          <w:lang w:val="el" w:eastAsia="el"/>
        </w:rPr>
        <w:t>2) Αδυναμίας εμφάνισης των τελικών προοδευτικών συνόλων στο Δελτίο Ημερήσιας Κίνησης «Ζ» . Στην περίπτωση αυτή το Δελτίο Ημερήσιας Κίνησης «Ζ» συνοδεύεται από Δελτίο Ανάγνωσης Φορολογικής Μνήμης, όπου αναγράφονται τα προοδευτικά σύνολα εσόδων και Φ.Π.Α από ενάρξεως λειτουργίας της φορολογικής μνήμης.</w:t>
      </w:r>
    </w:p>
    <w:p>
      <w:pPr>
        <w:spacing w:before="240" w:after="240"/>
        <w:rPr>
          <w:lang w:val="el" w:eastAsia="el"/>
        </w:rPr>
      </w:pPr>
      <w:r>
        <w:rPr>
          <w:b/>
          <w:bCs/>
          <w:lang w:val="el" w:eastAsia="el"/>
        </w:rPr>
        <w:t>Εναλλακτικά, σε περίπτωση τεχνικής αδυναμίας έκδοσης του Δελτίου Ανάγνωσης Φορολογικής Μνήμης, το Δελτίο Ημερήσιας Κίνησης «Ζ» συνοδεύεται από υπεύθυνη δήλωση, με την οποία δηλώνονται τα προαναφερόμενα προοδευτικά σύνολα.</w:t>
      </w:r>
    </w:p>
    <w:p>
      <w:pPr>
        <w:spacing w:before="240" w:after="240"/>
        <w:rPr>
          <w:lang w:val="el" w:eastAsia="el"/>
        </w:rPr>
      </w:pPr>
      <w:r>
        <w:rPr>
          <w:b/>
          <w:bCs/>
          <w:lang w:val="el" w:eastAsia="el"/>
        </w:rPr>
        <w:t>3) Το τελευταίο εκδοθέν Δελτίο Ημερήσιας Κίνησης «Ζ» φέρει ημερομηνία προγενέστερη των έξι (6) μηνών της ημερομηνίας έκδοσης της Τεχνικής Αναφοράς Βλάβης, η οποία συνυποβάλλεται με το ως άνω δελτίο και την δήλωση παύσης λόγω βλάβης.</w:t>
      </w:r>
    </w:p>
    <w:p>
      <w:pPr>
        <w:spacing w:before="240" w:after="240"/>
        <w:rPr>
          <w:lang w:val="el" w:eastAsia="el"/>
        </w:rPr>
      </w:pPr>
      <w:r>
        <w:rPr>
          <w:b/>
          <w:bCs/>
          <w:lang w:val="el" w:eastAsia="el"/>
        </w:rPr>
        <w:t>Σε περίπτωση βλάβης του ΦΗΜ, και εφόσον το τελευταίο εκδοθέν Δελτίο Ημερήσιας Κίνησης Ζ φέρει ημερομηνία εντός των προηγούμενων έξι (6) μηνών από την ημερομηνία έκδοσης της Τεχνικής Αναφοράς Βλάβης, η δήλωση παύσης λόγω βλάβης υποβάλλεται από την επιχείρηση που κατέχει την άδεια καταλληλότητας ή την άδεια τεχνικής υποστήριξης του ΦΗΜ, για λογαριασμό του κατόχου του ΦΗΜ.</w:t>
      </w:r>
    </w:p>
    <w:p>
      <w:pPr>
        <w:spacing w:before="240" w:after="240"/>
        <w:rPr>
          <w:lang w:val="el" w:eastAsia="el"/>
        </w:rPr>
      </w:pPr>
      <w:r>
        <w:rPr>
          <w:b/>
          <w:bCs/>
          <w:lang w:val="el" w:eastAsia="el"/>
        </w:rPr>
        <w:t>Οι κωδικοί οριστικής παύσης ΦΗΜ των προαναφερόμενων περιπτώσεων είναι οι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70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πλήρωσης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Απόσυρση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Αυτοπαράδοση λόγω παύσης εργασιών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θανάτου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Ασυμβατότητα με δεκαδικά των συντελεστών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Παύση λόγω βλάβης φορολογικής μνήμης</w:t>
            </w:r>
          </w:p>
        </w:tc>
      </w:tr>
    </w:tbl>
    <w:p>
      <w:pPr>
        <w:spacing w:before="240" w:after="240"/>
        <w:rPr>
          <w:lang w:val="el" w:eastAsia="el"/>
        </w:rPr>
      </w:pPr>
      <w:r>
        <w:rPr>
          <w:b/>
          <w:bCs/>
          <w:lang w:val="el" w:eastAsia="el"/>
        </w:rPr>
        <w:t xml:space="preserve">Ε. </w:t>
      </w:r>
      <w:r>
        <w:rPr>
          <w:b/>
          <w:bCs/>
          <w:lang w:val="el" w:eastAsia="el"/>
        </w:rPr>
        <w:t xml:space="preserve">Από την </w:t>
      </w:r>
      <w:r>
        <w:rPr>
          <w:b/>
          <w:bCs/>
          <w:lang w:val="el" w:eastAsia="el"/>
        </w:rPr>
        <w:t xml:space="preserve">1-6-2020 </w:t>
      </w:r>
      <w:r>
        <w:rPr>
          <w:b/>
          <w:bCs/>
          <w:lang w:val="el" w:eastAsia="el"/>
        </w:rPr>
        <w:t>και εξής, η τυχόν έκδοση στοιχείων λιανικής πώλησης από ΦΗΜ των υπόψη κατηγοριών, συνιστά για τον κάτοχο-χρήστη αυτού παράβαση των σχετικών διατάξεων του ν.4174/2013.</w:t>
      </w:r>
    </w:p>
    <w:p>
      <w:pPr>
        <w:spacing w:before="240" w:after="240"/>
        <w:rPr>
          <w:lang w:val="el" w:eastAsia="el"/>
        </w:rPr>
      </w:pPr>
      <w:r>
        <w:rPr>
          <w:b/>
          <w:bCs/>
          <w:lang w:val="el" w:eastAsia="el"/>
        </w:rPr>
        <w:t xml:space="preserve">ΣΤ. </w:t>
      </w:r>
      <w:r>
        <w:rPr>
          <w:b/>
          <w:bCs/>
          <w:lang w:val="el" w:eastAsia="el"/>
        </w:rPr>
        <w:t>Η παρούσα Απόφαση ισχύει από τη δημοσίευση της στην Εφημερίδα της Κυβέρνησης.</w:t>
      </w:r>
    </w:p>
    <w:p>
      <w:pPr>
        <w:spacing w:before="240" w:after="240"/>
        <w:rPr>
          <w:lang w:val="el" w:eastAsia="el"/>
        </w:rPr>
      </w:pPr>
      <w:r>
        <w:rPr>
          <w:b/>
          <w:bCs/>
          <w:lang w:val="el" w:eastAsia="el"/>
        </w:rPr>
        <w:t xml:space="preserve">Ζ. </w:t>
      </w:r>
      <w:r>
        <w:rPr>
          <w:b/>
          <w:bCs/>
          <w:lang w:val="el" w:eastAsia="el"/>
        </w:rPr>
        <w:t>Η Απόφαση αυτή να δημοσιευθεί στην Εφημερίδα της Κυβέρνησης.</w:t>
      </w:r>
    </w:p>
    <w:p>
      <w:pPr>
        <w:spacing w:before="240" w:after="240"/>
        <w:rPr>
          <w:lang w:val="el" w:eastAsia="el"/>
        </w:rPr>
      </w:pPr>
      <w:r>
        <w:rPr>
          <w:b/>
          <w:bCs/>
          <w:lang w:val="el" w:eastAsia="el"/>
        </w:rPr>
        <w:t>Ο Διοικητής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Τυπογραφείο(στην ηλεκτρονική διεύθυνση “webmaster.et@et.gr”), για δημοσίευση της απόφασης</w:t>
      </w:r>
    </w:p>
    <w:p>
      <w:pPr>
        <w:spacing w:before="240" w:after="240"/>
        <w:rPr>
          <w:lang w:val="el" w:eastAsia="el"/>
        </w:rPr>
      </w:pPr>
      <w:r>
        <w:rPr>
          <w:b/>
          <w:bCs/>
          <w:lang w:val="el" w:eastAsia="el"/>
        </w:rPr>
        <w:t>2.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Σύνδεσμος Εισαγωγέων και Κατασκευαστών Ταμειακών συστημάτων (ΣΕΚΤ) Λ. Αθηνών 165- 12461 Χαϊδάρι</w:t>
      </w:r>
    </w:p>
    <w:p>
      <w:pPr>
        <w:spacing w:before="240" w:after="240"/>
        <w:rPr>
          <w:lang w:val="el" w:eastAsia="el"/>
        </w:rPr>
      </w:pPr>
      <w:r>
        <w:rPr>
          <w:b/>
          <w:bCs/>
          <w:lang w:val="el" w:eastAsia="el"/>
        </w:rPr>
        <w:t>2.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3.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4.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Ειδικού Γραμματέα Σ.Δ.Ο.Ε.</w:t>
      </w:r>
    </w:p>
    <w:p>
      <w:pPr>
        <w:spacing w:before="240" w:after="240"/>
        <w:rPr>
          <w:lang w:val="el" w:eastAsia="el"/>
        </w:rPr>
      </w:pPr>
      <w:r>
        <w:rPr>
          <w:b/>
          <w:bCs/>
          <w:lang w:val="el" w:eastAsia="el"/>
        </w:rPr>
        <w:t>δ)Κεντρική Υπηρεσία Σ.Δ.Ο.Ε. και Περιφερειακές Δ/νσεις.</w:t>
      </w:r>
    </w:p>
    <w:p>
      <w:pPr>
        <w:spacing w:before="240" w:after="240"/>
        <w:rPr>
          <w:lang w:val="el" w:eastAsia="el"/>
        </w:rPr>
      </w:pPr>
      <w:r>
        <w:rPr>
          <w:b/>
          <w:bCs/>
          <w:lang w:val="el" w:eastAsia="el"/>
        </w:rPr>
        <w:t>5.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 β) 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Δ.Α.Φ.Ε.</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κου Διοικητή της Α.Α.Δ.Ε.</w:t>
      </w:r>
    </w:p>
    <w:p>
      <w:pPr>
        <w:spacing w:before="240" w:after="240"/>
        <w:rPr>
          <w:lang w:val="el" w:eastAsia="el"/>
        </w:rPr>
      </w:pPr>
      <w:r>
        <w:rPr>
          <w:b/>
          <w:bCs/>
          <w:lang w:val="el" w:eastAsia="el"/>
        </w:rPr>
        <w:t>2. Προϊσταμένους των Γενικών Διευθύνσεων της Α.Α.Δ.Ε.</w:t>
      </w:r>
    </w:p>
    <w:p>
      <w:pPr>
        <w:spacing w:before="240" w:after="240"/>
        <w:rPr>
          <w:lang w:val="el" w:eastAsia="el"/>
        </w:rPr>
      </w:pPr>
      <w:r>
        <w:rPr>
          <w:b/>
          <w:bCs/>
          <w:lang w:val="el" w:eastAsia="el"/>
        </w:rPr>
        <w:t>3. Διευθύνσεις της Γενικής Διεύθυνσης Φορολογικής Διοίκησης</w:t>
      </w:r>
    </w:p>
    <w:p>
      <w:pPr>
        <w:spacing w:before="240" w:after="240"/>
        <w:rPr>
          <w:lang w:val="el" w:eastAsia="el"/>
        </w:rPr>
      </w:pPr>
      <w:r>
        <w:rPr>
          <w:b/>
          <w:bCs/>
          <w:lang w:val="el" w:eastAsia="el"/>
        </w:rPr>
        <w:t>4. Διεύθυνση Διαχείρισης Υποδομών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