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10756 ΕΞ 2020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Καθορισμός όρων και προϋποθέσεων καταβολής αμοιβής σε πρόσωπα που καταδεικνύουν περιουσιακά στοιχεία του ν. 4182/2013 (ΦΕΚ 185 Α').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ΥΦΥΠΟΥΡΓΟΣ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άρθρου 4 παρ. 6 του ν. 4182/2013 «Κώδικας Κοινωφελών Περιουσιών, σχολαζουσών κληρονομιών και λοιπές διατάξεις» (ΦΕΚ 185 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140 και 141 του ν. 4270/2014 «Αρχές δημοσιονομικής διαχείρισης και εποπτείας (ενσωμάτωση της Οδηγίας 2011/85/ΕΕ) - δημόσιο λογιστικό και άλλες διατάξεις» (ΦΕΚ 143 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του π.δ. 63/2005 «Κωδικοποίηση της Νομοθεσίας για την Κυβέρνηση και τα κυβερνητικά όργανα» (ΦΕΚ 98 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(ΦΕΚ 181 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 84/2019 «Σύσταση και κατάργηση Γενικών Γραμματειών και Ειδικών Γραμματειών/Ενιαίων Διοικητικών Τομέων Υπουργείων» (ΦΕΚ 123 Α’).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(ΦΕΚ 121 Α’).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αριθμ. 339/18.7.2019 κοινή απόφαση του Πρωθυπουργού και του Υπουργού Οικονομικών περί ανάθεσης αρμοδιοτήτων στον Υφυπουργό Οικονομικών Απόστολο Βεσυρόπουλο (ΦΕΚ 3051 Β’).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 γεγονός ότι από τις διατάξεις της παρούσας απόφασης προκαλείται ενδεχόμενη δαπάνη σε βάρος του κρατικού προϋπολογισμού ή επί προϋπολογισμού Νομικού Προσώπου Δημοσίου Δικαίου, η οποία εξαρτάται από πραγματικά γεγονότα και δεν μπορεί να προϋπολογισθεί. Η εν λόγω δαπάνη θα αντιμετωπίζεται από τις πιστώσεις του οικείου φορέα, ο οποίος μεριμνά για να εξασφαλίζει τις απαιτούμενες πιστώσεις,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Τον καθορισμό των όρων και προϋποθέσεων καταβολής αμοιβής σε πρόσωπα που καταδεικνύουν περιουσιακά στοιχεία, του Κώδικα Κοινωφελών Περιουσιών και Σχολαζουσών Κληρονομιών, ως εξής: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1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Υποχρέωση υποβολής δήλωσης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Κάθε πρόσωπο που γνωρίζει στοιχεία ή πληροφορίες σχετικά με περιουσίες του Κώδικα Κοινωφελών Περιουσιών και Σχολαζουσών Κληρονομιών, οφείλει να το δηλώσει χωρίς υπαίτια καθυστέρηση στη Διεύθυνση Κοινωφελών Περιουσιών του Υπουργείου Οικονομικών. Η δήλωση αυτή θα πρέπει να περιέχει κατά το δυνατόν ακριβή στοιχεία και κάθε άλλη χρήσιμη λεπτομέρεια, σχετικά με την καταδειχθείσα περιουσία.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Εφόσον η δήλωση γίνει σε άλλη δημόσια αρχή, η αρχή αυτή υποχρεούται άμεσα και εντός δέκα (10) ημερών το αργότερο από την περιέλευση σε αυτή, της σχετικής πληροφορίας, να τη διαβιβάσει στην ανωτέρω Διεύθυνση Κοινωφελών Περιουσιών.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Η Διεύθυνση Κοινωφελών Περιουσιών οφείλει να εξετάσει τα παρεχόμενα στοιχεία και, εφόσον δεν υπάγονται στην αρμοδιότητά της, κατά τα οριζόμενα στο άρθρο 2 του ν. 4182/2013, να τα αποστείλει στην αρμόδια Αποκεντρωμένη Διοίκηση.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Προϋποθέσεις καταβολής χρηματικής αμοιβής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χρηματική αμοιβή καταβάλλεται στο δικαιούχο πρόσωπο, μετά την εκκαθάριση και την περιέλευση της περιουσίας στο Δημόσιο ή το φορέα εκτέλεσης κοινωφελούς σκοπού, με απόφαση της αρμόδιας, (κατά το άρθρο 1 του ν. 4182/2013), αρχής, ύστερα από γνώμη του αντίστοιχου Συμβουλίου Κοινωφελών Περιουσιών και εφόσον συντρέχει μία εκ των εξής προϋποθέσεων: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εάν έχει παρέλθει πενταετία από το θάνατο του διαθέτη ή δωρητή ή του κληρονομούμενου από το Δημόσιο, ως εξ αδιαθέτου κληρονόμου στην έκτη τάξη και η αρμόδια αρχή δεν έλαβε γνώση της ύπαρξης της περιουσίας αυτής, από άλλη πηγή,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εάν είναι δυνατή αναψηλάφηση δίκης ή ανατροπή τελεσίδικης απόφασης ή συμβιβασμού, ως αποτέλεσμα της υποδείξεως αδικήματος από τον καταδείκτη, επιδικασθεί δε, (με τελεσίδικη απόφαση ή βούλευμα), η περιουσία στο Δημόσιο ή σε Νομικά Πρόσωπα ή σε Ιδρύματα.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3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Ύψος αμοιβής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Το ύψος της αμοιβής μπορεί να ανέρχεται σε ποσοστό έως 10% επί της αξίας της εκκαθαρισθείσας περιουσίας, ενώ για τον καθορισμό της, λαμβάνονται υπόψη αφενός η ακρίβεια και πληρότητα των παρεχόμενων από αυτόν πληροφοριών και στοιχείων, καθώς και οι κάθε είδους ενέργειές του, με τις οποίες τυχόν συνέβαλε στην ανάκτηση της περιουσίας.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 υπολογισμός της αξίας της εκκαθαρισθείσας περιουσίας γίνεται, εφόσον απαιτείται, με εκτίμηση από πιστοποιημένο εκτιμητή.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4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Κάλυψη δαπάνης αμοιβής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Η δαπάνη της αμοιβής καλύπτεται από το ρευστό ενεργητικό της περιουσίας, εφόσον υπάρχει. Σε αντίθετη περίπτωση, κατά την κρίση του Δημοσίου ή του φορέα εκτέλεσης κοινωφελούς σκοπού, (αναλόγως σε ποιον περιέλθει η περιουσία), η δαπάνη δύναται να καλυφθεί είτε με τη ρευστοποίηση περιουσιακών στοιχείων της περιουσίας είτε από τους πόρους του φορέα εκτέλεσης κοινωφελούς σκοπού, εφόσον η περιουσία περιέρχεται σ' αυτόν και επαρκούν οι πόροι του είτε τέλος από τον κρατικό προϋπολογισμό, αν η περιουσία περιέλθει στο Δημόσιο.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 τρόπος κάλυψης της δαπάνης, συμπεριλαμβανομένου και του περιουσιακού στοιχείου, (εφόσον αυτό ρευστοποιηθεί), ορίζεται στην απόφαση του άρθρου 2 της παρούσας. Η ρευστοποίηση της περιουσίας γίνεται σύμφωνα με τις διατάξεις που διέπουν το φορέα, στον οποίο περιέρχεται η περιουσία.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Εάν η δήλωση γίνεται από περισσότερα του ενός πρόσωπα, η αμοιβή επιμερίζεται μεταξύ τους σε ποσοστά που καθορίζονται με την απόφαση του άρθρου 2 της παρούσης, ανάλογα με τη συμβολή καθενός και σε περίπτωση αμφιβολίας, κατά ίσα μέρη.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δικαίωμα αμοιβής υπόκειται στην παραγραφή αξιώσεων κατά του Δημοσίου.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29 Ιανουαρίου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Υφυπουργός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ΑΠΟΣΤΟΛΟΣ ΒΕΣΥΡΟΠΟΥΛΟΣ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