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w:t>
      </w:r>
    </w:p>
    <w:p>
      <w:pPr>
        <w:pStyle w:val="PreambelText"/>
        <w:spacing w:before="240" w:after="240"/>
        <w:rPr>
          <w:lang w:val="el" w:eastAsia="el"/>
        </w:rPr>
      </w:pPr>
      <w:r>
        <w:rPr>
          <w:b/>
          <w:bCs/>
          <w:lang w:val="el" w:eastAsia="el"/>
        </w:rPr>
        <w:t>ΑΔΑ: ΨΡΠΟ46ΜΠ3Ζ-Τ4Ο</w:t>
      </w:r>
    </w:p>
    <w:p>
      <w:pPr>
        <w:pStyle w:val="PreambelText"/>
        <w:spacing w:before="240" w:after="240"/>
        <w:rPr>
          <w:lang w:val="el" w:eastAsia="el"/>
        </w:rPr>
      </w:pPr>
      <w:r>
        <w:rPr>
          <w:b/>
          <w:bCs/>
          <w:lang w:val="el" w:eastAsia="el"/>
        </w:rPr>
        <w:t>ΑΡΙΘ. ΦΕΚ: 317B/6.2.2020</w:t>
      </w:r>
    </w:p>
    <w:p>
      <w:pPr>
        <w:pStyle w:val="PreambelText"/>
        <w:spacing w:before="240" w:after="240"/>
        <w:rPr>
          <w:lang w:val="el" w:eastAsia="el"/>
        </w:rPr>
      </w:pPr>
      <w:r>
        <w:rPr>
          <w:b/>
          <w:bCs/>
          <w:lang w:val="el" w:eastAsia="el"/>
        </w:rPr>
        <w:t>Μοσχάτο, 31/01/2020</w:t>
      </w:r>
    </w:p>
    <w:p>
      <w:pPr>
        <w:pStyle w:val="PreambelText"/>
        <w:spacing w:before="240" w:after="240"/>
        <w:rPr>
          <w:lang w:val="el" w:eastAsia="el"/>
        </w:rPr>
      </w:pPr>
      <w:r>
        <w:rPr>
          <w:lang w:val="el" w:eastAsia="el"/>
        </w:rPr>
        <w:t xml:space="preserve">1. </w:t>
      </w:r>
      <w:r>
        <w:rPr>
          <w:b/>
          <w:bCs/>
          <w:lang w:val="el" w:eastAsia="el"/>
        </w:rPr>
        <w:t>ΓΕΝΙΚΗ ΔΙΕΥΘΥΝΣΗ ΗΛΕΚΤΡΟΝΙΚΗΣ ΔΙΑΚΥΒΕΡΝΗΣΗΣ</w:t>
      </w:r>
    </w:p>
    <w:p>
      <w:pPr>
        <w:pStyle w:val="PreambelText"/>
        <w:spacing w:before="240" w:after="240"/>
        <w:rPr>
          <w:lang w:val="el" w:eastAsia="el"/>
        </w:rPr>
      </w:pPr>
      <w:r>
        <w:rPr>
          <w:b/>
          <w:bCs/>
          <w:lang w:val="el" w:eastAsia="el"/>
        </w:rPr>
        <w:t>ΔΙΕΥΘΥΝΣΗ ΔΙΑΧΕΙΡΙΣΗΣ ΥΠΟΔΟΜΩΝ ΤΜΗΜΑ Ε’</w:t>
      </w:r>
    </w:p>
    <w:p>
      <w:pPr>
        <w:pStyle w:val="PreambelText"/>
        <w:spacing w:before="240" w:after="240"/>
        <w:rPr>
          <w:lang w:val="el" w:eastAsia="el"/>
        </w:rPr>
      </w:pPr>
      <w:r>
        <w:rPr>
          <w:lang w:val="el" w:eastAsia="el"/>
        </w:rPr>
        <w:t>Θεσ/κης&amp; Χανδρή 1 18346 ΜΟΣΧΑΤΟ</w:t>
      </w:r>
    </w:p>
    <w:p>
      <w:pPr>
        <w:pStyle w:val="PreambelText"/>
        <w:spacing w:before="240" w:after="240"/>
        <w:rPr>
          <w:lang w:val="el" w:eastAsia="el"/>
        </w:rPr>
      </w:pPr>
      <w:r>
        <w:rPr>
          <w:lang w:val="el" w:eastAsia="el"/>
        </w:rPr>
        <w:t>Π. Μαυρίδης</w:t>
      </w:r>
    </w:p>
    <w:p>
      <w:pPr>
        <w:pStyle w:val="PreambelText"/>
        <w:spacing w:before="240" w:after="240"/>
        <w:rPr>
          <w:lang w:val="el" w:eastAsia="el"/>
        </w:rPr>
      </w:pPr>
      <w:r>
        <w:rPr>
          <w:lang w:val="el" w:eastAsia="el"/>
        </w:rPr>
        <w:t xml:space="preserve">213 1621133 </w:t>
      </w:r>
      <w:hyperlink r:id="rId4" w:history="1">
        <w:r>
          <w:rPr>
            <w:rStyle w:val="Hyperlink"/>
            <w:color w:val="0000EE"/>
            <w:u w:color="0000EE"/>
            <w:lang w:val="el" w:eastAsia="el"/>
          </w:rPr>
          <w:t>p.mavridis@aade.gr</w:t>
        </w:r>
      </w:hyperlink>
      <w:hyperlink r:id="rId5" w:history="1">
        <w:r>
          <w:rPr>
            <w:rStyle w:val="Hyperlink"/>
            <w:color w:val="0000EE"/>
            <w:u w:color="0000EE"/>
            <w:lang w:val="el" w:eastAsia="el"/>
          </w:rPr>
          <w:t>www.aade.gr</w:t>
        </w:r>
      </w:hyperlink>
    </w:p>
    <w:p>
      <w:pPr>
        <w:pStyle w:val="PreambelText"/>
        <w:spacing w:before="240" w:after="240"/>
        <w:rPr>
          <w:lang w:val="el" w:eastAsia="el"/>
        </w:rPr>
      </w:pPr>
      <w:r>
        <w:rPr>
          <w:u w:val="single"/>
          <w:lang w:val="el" w:eastAsia="el"/>
        </w:rPr>
        <w:t xml:space="preserve">2. </w:t>
      </w:r>
      <w:r>
        <w:rPr>
          <w:b/>
          <w:bCs/>
          <w:u w:val="single"/>
          <w:lang w:val="el" w:eastAsia="el"/>
        </w:rPr>
        <w:t>ΓΕΝΙΚΗ ΔΙΕΥΘΥΝΣΗ ΗΛΕΚΤΡΟΝΙΚΗΣ ΔΙΑΚΥΒΕΡΝΗΣΗΣ</w:t>
      </w:r>
    </w:p>
    <w:p>
      <w:pPr>
        <w:pStyle w:val="PreambelText"/>
        <w:spacing w:before="240" w:after="240"/>
        <w:rPr>
          <w:lang w:val="el" w:eastAsia="el"/>
        </w:rPr>
      </w:pPr>
      <w:r>
        <w:rPr>
          <w:b/>
          <w:bCs/>
          <w:u w:val="single"/>
          <w:lang w:val="el" w:eastAsia="el"/>
        </w:rPr>
        <w:t>ΑΥΤΟΤΕΛΕΣ ΤΜΗΜΑ ΑΣΦΑΛΕΙΑΣ</w:t>
      </w:r>
    </w:p>
    <w:p>
      <w:pPr>
        <w:pStyle w:val="PreambelText"/>
        <w:spacing w:before="240" w:after="240"/>
        <w:rPr>
          <w:lang w:val="el" w:eastAsia="el"/>
        </w:rPr>
      </w:pPr>
      <w:r>
        <w:rPr>
          <w:u w:val="single"/>
          <w:lang w:val="el" w:eastAsia="el"/>
        </w:rPr>
        <w:t>Fax : 2104802579</w:t>
      </w:r>
    </w:p>
    <w:p>
      <w:pPr>
        <w:pStyle w:val="PreambelText"/>
        <w:spacing w:before="240" w:after="240"/>
        <w:rPr>
          <w:lang w:val="el" w:eastAsia="el"/>
        </w:rPr>
      </w:pPr>
      <w:r>
        <w:rPr>
          <w:u w:val="single"/>
          <w:lang w:val="el" w:eastAsia="el"/>
        </w:rPr>
        <w:t xml:space="preserve">E-Mail : </w:t>
      </w:r>
      <w:hyperlink r:id="rId6" w:history="1">
        <w:r>
          <w:rPr>
            <w:rStyle w:val="Hyperlink"/>
            <w:color w:val="0000EE"/>
            <w:u w:color="0000EE"/>
            <w:lang w:val="el" w:eastAsia="el"/>
          </w:rPr>
          <w:t>itsecurity@aade.gr</w:t>
        </w:r>
      </w:hyperlink>
    </w:p>
    <w:p>
      <w:pPr>
        <w:pStyle w:val="PreambelText"/>
        <w:spacing w:before="240" w:after="240"/>
        <w:rPr>
          <w:lang w:val="el" w:eastAsia="el"/>
        </w:rPr>
      </w:pPr>
      <w:r>
        <w:rPr>
          <w:b/>
          <w:bCs/>
          <w:u w:val="single"/>
          <w:lang w:val="el" w:eastAsia="el"/>
        </w:rPr>
        <w:t>ΘEΜA: «Συμπληρωματικές τεχνικές προδιαγραφές πρωτοκόλλου επικοινωνίας και κρυπτογράφησης για την διαβίβαση δεδομένων στο πληροφοριακό σύστημα των ΦΗΜ»</w:t>
      </w:r>
    </w:p>
    <w:p>
      <w:pPr>
        <w:pStyle w:val="enacting"/>
        <w:spacing w:before="120" w:after="0"/>
        <w:rPr>
          <w:lang w:val="el" w:eastAsia="el"/>
        </w:rPr>
      </w:pPr>
      <w:r>
        <w:rPr>
          <w:b/>
          <w:bCs/>
          <w:u w:val="single"/>
          <w:lang w:val="el" w:eastAsia="el"/>
        </w:rPr>
        <w:t>ΑΠΟΦΑΣΗ</w:t>
      </w:r>
      <w:r>
        <w:rPr>
          <w:u w:val="single"/>
          <w:lang w:val="el" w:eastAsia="el"/>
        </w:rPr>
        <w:br/>
      </w:r>
      <w:r>
        <w:rPr>
          <w:b/>
          <w:bCs/>
          <w:u w:val="single"/>
          <w:lang w:val="el" w:eastAsia="el"/>
        </w:rPr>
        <w:t xml:space="preserve">O </w:t>
      </w:r>
      <w:r>
        <w:rPr>
          <w:u w:val="single"/>
          <w:lang w:val="el" w:eastAsia="el"/>
        </w:rPr>
        <w:br/>
      </w:r>
      <w:r>
        <w:rPr>
          <w:b/>
          <w:bCs/>
          <w:u w:val="single"/>
          <w:lang w:val="el" w:eastAsia="el"/>
        </w:rPr>
        <w:t>ΔΙΟΙΚΗΤΗΣ ΤΗΣ ΑΝΕΞΑΡΤΗΤΗΣ ΑΡΧΗΣ ΔΗΜΟΣΙΩΝΕΣΟΔΩΝ</w:t>
      </w:r>
    </w:p>
    <w:p>
      <w:pPr>
        <w:pStyle w:val="PreambelText"/>
        <w:spacing w:before="240" w:after="240"/>
        <w:rPr>
          <w:lang w:val="el" w:eastAsia="el"/>
        </w:rPr>
      </w:pPr>
      <w:r>
        <w:rPr>
          <w:u w:val="single"/>
          <w:lang w:val="el" w:eastAsia="el"/>
        </w:rPr>
        <w:t>Έχοντας υπόψη:</w:t>
      </w:r>
    </w:p>
    <w:p>
      <w:pPr>
        <w:pStyle w:val="PreambelText"/>
        <w:spacing w:before="240" w:after="240"/>
        <w:rPr>
          <w:lang w:val="el" w:eastAsia="el"/>
        </w:rPr>
      </w:pPr>
      <w:r>
        <w:rPr>
          <w:u w:val="single"/>
          <w:lang w:val="el" w:eastAsia="el"/>
        </w:rPr>
        <w:t>1. 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Των άρθρων 12 και 40 του ν. 4308/2014 (A’ 251) «Eλληνικά Λογιστικά Πρότυπα, συναφείς ρυθμίσεις και άλλες διατάξεις.».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Της Απόφασης Διοικητή ΑΑΔΕ ΠΟΛ 1166/2018 (Β’ 3603)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 όπως τροποποιήθηκε και ισχύει.</w:t>
      </w:r>
    </w:p>
    <w:p>
      <w:pPr>
        <w:pStyle w:val="PreambelText"/>
        <w:spacing w:before="240" w:after="240"/>
        <w:rPr>
          <w:lang w:val="el" w:eastAsia="el"/>
        </w:rPr>
      </w:pPr>
      <w:r>
        <w:rPr>
          <w:b/>
          <w:bCs/>
          <w:u w:val="single"/>
          <w:lang w:val="el" w:eastAsia="el"/>
        </w:rPr>
        <w:t>2. Την με αριθμ.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α’ εδαφίου της παρ. 10 του άρθρου 41 του ν. 4389/2016 και την με αριθμ. 5294 ΕΞ 2020/17.1.2020 απόφαση του Υπουργού Οικονομικών (ΦΕΚ 27 Υ.Ο.Δ.Δ./17-1-2020) «Ανανέωση της θητείας του Διοικητή της Α.Α.Δ.Ε.».</w:t>
      </w:r>
    </w:p>
    <w:p>
      <w:pPr>
        <w:pStyle w:val="PreambelText"/>
        <w:spacing w:before="240" w:after="240"/>
        <w:rPr>
          <w:lang w:val="el" w:eastAsia="el"/>
        </w:rPr>
      </w:pPr>
      <w:r>
        <w:rPr>
          <w:b/>
          <w:bCs/>
          <w:u w:val="single"/>
          <w:lang w:val="el" w:eastAsia="el"/>
        </w:rPr>
        <w:t>3.Το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u w:val="single"/>
          <w:lang w:val="el" w:eastAsia="el"/>
        </w:rPr>
        <w:t>ΑΠΟΦΑΣΙΖΟΥΜΕ</w:t>
      </w:r>
    </w:p>
    <w:p>
      <w:pPr>
        <w:pStyle w:val="PreambelText"/>
        <w:spacing w:before="240" w:after="240"/>
        <w:rPr>
          <w:lang w:val="el" w:eastAsia="el"/>
        </w:rPr>
      </w:pPr>
      <w:r>
        <w:rPr>
          <w:b/>
          <w:bCs/>
          <w:i/>
          <w:iCs/>
          <w:u w:val="single"/>
          <w:lang w:val="el" w:eastAsia="el"/>
        </w:rPr>
        <w:t>Α. Τον ορισμό συμπληρωματικών προδιαγραφών πρωτοκόλλου επικοινωνίας και κρυπτογράφησης, επιπλέον αυτών που είχαν οριστεί με την ΠΟΛ 1166/2018 και τις οποίες εφαρμόζουν αφενός το πληροφοριακό σύστημα των ΦΗΜ και αφετέρου οι ΦΗΜ που έλαβαν έγκριση με τις διατάξεις των τεχνικών προδιαγραφών της ΠΟΛ 1220/2012, και όλες οι ΕΑΦΔΣΣ.</w:t>
      </w:r>
    </w:p>
    <w:p>
      <w:pPr>
        <w:pStyle w:val="PreambelText"/>
        <w:spacing w:before="240" w:after="240"/>
        <w:rPr>
          <w:lang w:val="el" w:eastAsia="el"/>
        </w:rPr>
      </w:pPr>
      <w:r>
        <w:rPr>
          <w:b/>
          <w:bCs/>
          <w:i/>
          <w:iCs/>
          <w:u w:val="single"/>
          <w:lang w:val="el" w:eastAsia="el"/>
        </w:rPr>
        <w:t>Β. Τον ορισμό συμπληρωματικών προδιαγραφών για την απεικόνιση QR code στα παραστατικά που εκδίδονται με την χρήση ΦΗΜ.</w:t>
      </w:r>
    </w:p>
    <w:p>
      <w:pPr>
        <w:pStyle w:val="PreambelText"/>
        <w:spacing w:before="240" w:after="240"/>
        <w:rPr>
          <w:lang w:val="el" w:eastAsia="el"/>
        </w:rPr>
      </w:pPr>
      <w:r>
        <w:rPr>
          <w:b/>
          <w:bCs/>
          <w:i/>
          <w:iCs/>
          <w:u w:val="single"/>
          <w:lang w:val="el" w:eastAsia="el"/>
        </w:rPr>
        <w:t>Γ. Τον ορισμό συμπληρωματικών προδιαγραφών για την διαδικασία τοποθέτησης νέου firmware στους ΦΗΜ.</w:t>
      </w:r>
    </w:p>
    <w:p>
      <w:pPr>
        <w:pStyle w:val="PreambelText"/>
        <w:spacing w:before="240" w:after="240"/>
        <w:rPr>
          <w:lang w:val="el" w:eastAsia="el"/>
        </w:rPr>
      </w:pPr>
      <w:r>
        <w:rPr>
          <w:b/>
          <w:bCs/>
          <w:i/>
          <w:iCs/>
          <w:u w:val="single"/>
          <w:lang w:val="el" w:eastAsia="el"/>
        </w:rPr>
        <w:t>Δ. Την αναβάθμιση των firmware των υπαρχόντων ενεργών ΦΗΜ καθώς και των drivers των υπαρχόντων ενεργών ΕΑΦΔΣΣ ώστε να ανταποκρίνονται στις προδιαγραφές της Απόφασης αυτής.</w:t>
      </w:r>
    </w:p>
    <w:p>
      <w:pPr>
        <w:pStyle w:val="Heading6"/>
        <w:spacing w:before="240" w:after="240"/>
        <w:rPr>
          <w:lang w:val="el" w:eastAsia="el"/>
        </w:rPr>
      </w:pPr>
      <w:r>
        <w:rPr>
          <w:b/>
          <w:bCs/>
          <w:u w:val="single"/>
          <w:lang w:val="el" w:eastAsia="el"/>
        </w:rPr>
        <w:t>Άρθρο 1</w:t>
      </w:r>
      <w:r>
        <w:rPr>
          <w:b/>
          <w:bCs/>
          <w:u w:val="single"/>
          <w:lang w:val="el" w:eastAsia="el"/>
        </w:rPr>
        <w:t xml:space="preserve"> </w:t>
      </w:r>
    </w:p>
    <w:p>
      <w:pPr>
        <w:pStyle w:val="Heading6"/>
        <w:spacing w:before="240" w:after="240"/>
        <w:rPr>
          <w:lang w:val="el" w:eastAsia="el"/>
        </w:rPr>
      </w:pPr>
      <w:r>
        <w:rPr>
          <w:b/>
          <w:bCs/>
          <w:u w:val="single"/>
          <w:lang w:val="el" w:eastAsia="el"/>
        </w:rPr>
        <w:t>Περίοδος επικοινωνίας – Συχνότητα επικοινωνίας</w:t>
      </w:r>
    </w:p>
    <w:p>
      <w:pPr>
        <w:spacing w:before="240" w:after="240"/>
        <w:rPr>
          <w:lang w:val="el" w:eastAsia="el"/>
        </w:rPr>
      </w:pPr>
      <w:r>
        <w:rPr>
          <w:b/>
          <w:bCs/>
          <w:u w:val="single"/>
          <w:lang w:val="el" w:eastAsia="el"/>
        </w:rPr>
        <w:t>Ως περίοδος επικοινωνίας ορίζεται το χρονικό διάστημα μεταξύ δύο διαδοχικών αποστολών δεδομένων από τον Φορολογικό Ηλεκτρονικό Μηχανισμό (ΦΗΜ) στο Πληροφοριακό Σύστημα των ΦΗΜ της ΑΑΔΕ (ΠΣΦΗΜ). Συχνότητα επικοινωνίας είναι το πλήθος αποστολών στην μονάδα του χρόνου.</w:t>
      </w:r>
    </w:p>
    <w:p>
      <w:pPr>
        <w:spacing w:before="240" w:after="240"/>
        <w:rPr>
          <w:lang w:val="el" w:eastAsia="el"/>
        </w:rPr>
      </w:pPr>
      <w:r>
        <w:rPr>
          <w:b/>
          <w:bCs/>
          <w:u w:val="single"/>
          <w:lang w:val="el" w:eastAsia="el"/>
        </w:rPr>
        <w:t>Προκειμένου να υπάρχει έλεγχος στο πλήθος συνδέσεων ΦΗΜ με το ΠΣΦΗΜ, σε κάθε απάντηση του ΠΣΦΗΜ προστίθεται πληροφορία για την περίοδο/συχνότητα επικοινωνίας του ΦΗΜ με το ΠΣΦΗΜ. Η συχνότητα επικοινωνίας κυμαίνεται από 0 ως 1440. Ακολουθούν ενδεικτικές περιπτώσεις:</w:t>
      </w:r>
    </w:p>
    <w:p>
      <w:pPr>
        <w:spacing w:before="240" w:after="240"/>
        <w:rPr>
          <w:lang w:val="el" w:eastAsia="el"/>
        </w:rPr>
      </w:pPr>
      <w:r>
        <w:rPr>
          <w:b/>
          <w:bCs/>
          <w:u w:val="single"/>
          <w:lang w:val="el" w:eastAsia="el"/>
        </w:rPr>
        <w:t>Σε περίπτωση που η περίοδος επικοινωνίας είναι 1, η αποστολή δεδομένων γίνεται κάθε 1 λεπτό. Η συχνότητα σε αυτήν την περίπτωση είναι 1440 αποστολές το 24ωρο.</w:t>
      </w:r>
    </w:p>
    <w:p>
      <w:pPr>
        <w:spacing w:before="240" w:after="240"/>
        <w:rPr>
          <w:lang w:val="el" w:eastAsia="el"/>
        </w:rPr>
      </w:pPr>
      <w:r>
        <w:rPr>
          <w:b/>
          <w:bCs/>
          <w:u w:val="single"/>
          <w:lang w:val="el" w:eastAsia="el"/>
        </w:rPr>
        <w:t>Σε περίπτωση που η περίοδος επικοινωνίας είναι 15, η αποστολή δεδομένων γίνεται κάθε 15 λεπτά. Η συχνότητα σε αυτήν την περίπτωση είναι 96 αποστολές το 24ωρο.</w:t>
      </w:r>
    </w:p>
    <w:p>
      <w:pPr>
        <w:spacing w:before="240" w:after="240"/>
        <w:rPr>
          <w:lang w:val="el" w:eastAsia="el"/>
        </w:rPr>
      </w:pPr>
      <w:r>
        <w:rPr>
          <w:b/>
          <w:bCs/>
          <w:u w:val="single"/>
          <w:lang w:val="el" w:eastAsia="el"/>
        </w:rPr>
        <w:t>Σε περίπτωση που η περίοδος επικοινωνίας είναι 1440, η αποστολή δεδομένων γίνεται κάθε 1440 λεπτά (ήτοι κάθε 24 ώρες). Η συχνότητα σε αυτήν την περίπτωση είναι 1 αποστολή το 24ωρο.</w:t>
      </w:r>
    </w:p>
    <w:p>
      <w:pPr>
        <w:spacing w:before="240" w:after="240"/>
        <w:rPr>
          <w:lang w:val="el" w:eastAsia="el"/>
        </w:rPr>
      </w:pPr>
      <w:r>
        <w:rPr>
          <w:b/>
          <w:bCs/>
          <w:u w:val="single"/>
          <w:lang w:val="el" w:eastAsia="el"/>
        </w:rPr>
        <w:t>Περίοδος επικοινωνίας 0 σημαίνει ότι η διαβίβαση γίνεται μόνο όταν εκδίδεται Ζ, δηλαδή όπως είχε οριστεί στην ΠΟΛ 1166/2018.</w:t>
      </w:r>
    </w:p>
    <w:p>
      <w:pPr>
        <w:spacing w:before="240" w:after="240"/>
        <w:rPr>
          <w:lang w:val="el" w:eastAsia="el"/>
        </w:rPr>
      </w:pPr>
      <w:r>
        <w:rPr>
          <w:b/>
          <w:bCs/>
          <w:u w:val="single"/>
          <w:lang w:val="el" w:eastAsia="el"/>
        </w:rPr>
        <w:t>Η περίοδος επικοινωνίας (και ως εκ τούτου και η συχνότητα επικοινωνίας) μπορεί να αλλάζει από το ΠΣΦΗΜ, ώστε να είναι διαφορετική για κάθε ΦΗΜ.</w:t>
      </w:r>
    </w:p>
    <w:p>
      <w:pPr>
        <w:pStyle w:val="Heading6"/>
        <w:spacing w:before="240" w:after="240"/>
        <w:rPr>
          <w:lang w:val="el" w:eastAsia="el"/>
        </w:rPr>
      </w:pPr>
      <w:r>
        <w:rPr>
          <w:b/>
          <w:bCs/>
          <w:u w:val="single"/>
          <w:lang w:val="el" w:eastAsia="el"/>
        </w:rPr>
        <w:t>Άρθρο 2</w:t>
      </w:r>
      <w:r>
        <w:rPr>
          <w:b/>
          <w:bCs/>
          <w:u w:val="single"/>
          <w:lang w:val="el" w:eastAsia="el"/>
        </w:rPr>
        <w:t xml:space="preserve"> </w:t>
      </w:r>
    </w:p>
    <w:p>
      <w:pPr>
        <w:pStyle w:val="Heading6"/>
        <w:spacing w:before="240" w:after="240"/>
        <w:rPr>
          <w:lang w:val="el" w:eastAsia="el"/>
        </w:rPr>
      </w:pPr>
      <w:r>
        <w:rPr>
          <w:b/>
          <w:bCs/>
          <w:u w:val="single"/>
          <w:lang w:val="el" w:eastAsia="el"/>
        </w:rPr>
        <w:t>Τρόπος επικοινωνίας</w:t>
      </w:r>
    </w:p>
    <w:p>
      <w:pPr>
        <w:pStyle w:val="MainText"/>
        <w:spacing w:before="120" w:after="0"/>
        <w:rPr>
          <w:lang w:val="el" w:eastAsia="el"/>
        </w:rPr>
      </w:pPr>
      <w:r>
        <w:rPr>
          <w:b/>
          <w:bCs/>
          <w:u w:val="single"/>
          <w:lang w:val="el" w:eastAsia="el"/>
        </w:rPr>
        <w:t>2.1</w:t>
      </w:r>
      <w:r>
        <w:rPr>
          <w:b/>
          <w:bCs/>
          <w:u w:val="single"/>
          <w:lang w:val="el" w:eastAsia="el"/>
        </w:rPr>
        <w:t xml:space="preserve"> Ο ΦΗΜ σημαίνει ως εκκρεμότητα τα e.txt που δεν έχουν αποσταλεί και τα αποστέλλει συγκεντρωμένα σε τακτά χρονικά διαστήματα (σύμφωνα με την περίοδο επικοινωνίας που έχει ορίσει το ΠΣΦΗΜ) ως ένα ομαδοποιημένο αρχείο (batch file) που έχει την ονομασία του αντίστοιχου ημερήσιου _s.txt αρχείου αποστολής, όπως αυτό ορίζεται στην ΠΟΛ1220/2012, συμπληρωμένο όμως με την επέκταση </w:t>
      </w:r>
      <w:r>
        <w:rPr>
          <w:b/>
          <w:bCs/>
          <w:u w:val="single"/>
          <w:lang w:val="el" w:eastAsia="el"/>
        </w:rPr>
        <w:t xml:space="preserve">_s.tmp </w:t>
      </w:r>
      <w:r>
        <w:rPr>
          <w:b/>
          <w:bCs/>
          <w:u w:val="single"/>
          <w:lang w:val="el" w:eastAsia="el"/>
        </w:rPr>
        <w:t>(προσωρινό).</w:t>
      </w:r>
    </w:p>
    <w:p>
      <w:pPr>
        <w:pStyle w:val="MainText"/>
        <w:spacing w:before="120" w:after="0"/>
        <w:rPr>
          <w:lang w:val="el" w:eastAsia="el"/>
        </w:rPr>
      </w:pPr>
      <w:r>
        <w:rPr>
          <w:b/>
          <w:bCs/>
          <w:u w:val="single"/>
          <w:lang w:val="el" w:eastAsia="el"/>
        </w:rPr>
        <w:t>2.2.</w:t>
      </w:r>
      <w:r>
        <w:rPr>
          <w:b/>
          <w:bCs/>
          <w:u w:val="single"/>
          <w:lang w:val="el" w:eastAsia="el"/>
        </w:rPr>
        <w:t xml:space="preserve"> Το περιεχόμενο του ανωτέρω s.tmp αρχείου αποτελείται από τα περιεχόμενα των εκκρεμών e.txt, ομοιοτρόπως με το περιεχόμενο του αντίστοιχου ημερήσιου s.txt, και από μια νέα ΠΑΗΨΣ d.tmp, στον υπολογισμό της οποίας συμμετέχουν: η ΠΑΗΨΣ d.txt του προηγούμενου Ζ και οι ΠΑΗΨΣ των e.txt του συγκεκριμένου s.tmp. Διευκρινίζεται ότι, για λόγους απλότητας, για όλα τα s.tmp του τρέχοντος Ζ, ως πρώτο συστατικό του υπολογισμού της ΠΑΗΨΣ d.tmp είναι το d.txt του προηγούμενου Ζ.</w:t>
      </w:r>
    </w:p>
    <w:p>
      <w:pPr>
        <w:pStyle w:val="MainText"/>
        <w:spacing w:before="120" w:after="0"/>
        <w:rPr>
          <w:lang w:val="el" w:eastAsia="el"/>
        </w:rPr>
      </w:pPr>
      <w:r>
        <w:rPr>
          <w:b/>
          <w:bCs/>
          <w:u w:val="single"/>
          <w:lang w:val="el" w:eastAsia="el"/>
        </w:rPr>
        <w:t>2.3.</w:t>
      </w:r>
      <w:r>
        <w:rPr>
          <w:b/>
          <w:bCs/>
          <w:u w:val="single"/>
          <w:lang w:val="el" w:eastAsia="el"/>
        </w:rPr>
        <w:t xml:space="preserve"> Η ΠΑΗΨΣ d.tmp δοθέντος s.tmp δεν αποθηκεύεται ούτε από το ΠΣΦΗΜ, ούτε από τον ΦΗΜ.</w:t>
      </w:r>
    </w:p>
    <w:p>
      <w:pPr>
        <w:pStyle w:val="MainText"/>
        <w:spacing w:before="120" w:after="0"/>
        <w:rPr>
          <w:lang w:val="el" w:eastAsia="el"/>
        </w:rPr>
      </w:pPr>
      <w:r>
        <w:rPr>
          <w:b/>
          <w:bCs/>
          <w:u w:val="single"/>
          <w:lang w:val="el" w:eastAsia="el"/>
        </w:rPr>
        <w:t>2.4.</w:t>
      </w:r>
      <w:r>
        <w:rPr>
          <w:b/>
          <w:bCs/>
          <w:u w:val="single"/>
          <w:lang w:val="el" w:eastAsia="el"/>
        </w:rPr>
        <w:t xml:space="preserve"> Το ΠΣΦΗΜ διαβάζει το ομαδοποιημένο αρχείο s.tmp και αφού επαληθεύσει την ορθότητα του d.tmp καταχωρεί τα αρχεία e.txt του αρχείου s.tmp.</w:t>
      </w:r>
    </w:p>
    <w:p>
      <w:pPr>
        <w:pStyle w:val="MainText"/>
        <w:spacing w:before="120" w:after="0"/>
        <w:rPr>
          <w:lang w:val="el" w:eastAsia="el"/>
        </w:rPr>
      </w:pPr>
      <w:r>
        <w:rPr>
          <w:b/>
          <w:bCs/>
          <w:u w:val="single"/>
          <w:lang w:val="el" w:eastAsia="el"/>
        </w:rPr>
        <w:t>2.5.</w:t>
      </w:r>
      <w:r>
        <w:rPr>
          <w:b/>
          <w:bCs/>
          <w:u w:val="single"/>
          <w:lang w:val="el" w:eastAsia="el"/>
        </w:rPr>
        <w:t xml:space="preserve"> Στην περίπτωση όπου δεν υπάρχει εκκρεμής απόδειξη προς αποστολή (e.txt) αλλά έχει παρέλθει το χρονικό διάστημα που έχει ορίσει το ΠΣΦΗΜ, πραγματοποιείται η διαβίβαση αρχείου s.tmp στο οποίο περιέχεται μόνο η ΠΑΗΨΣ d.tmp και κανένα αρχείο e.txt. Συνεπώς, ο ΦΗΜ ενδέχεται να στέλνει αρχείο s.tmp το οποίο δεν θα περιέχει καμία γραμμή e.txt, αλλά μόνο μια γραμμή d.tmp προκειμένου απλά να λαμβάνει ενημέρωση για πιθανή νέα περίοδο (συχνότητα) επικοινωνίας.</w:t>
      </w:r>
    </w:p>
    <w:p>
      <w:pPr>
        <w:pStyle w:val="MainText"/>
        <w:spacing w:before="120" w:after="0"/>
        <w:rPr>
          <w:lang w:val="el" w:eastAsia="el"/>
        </w:rPr>
      </w:pPr>
      <w:r>
        <w:rPr>
          <w:b/>
          <w:bCs/>
          <w:u w:val="single"/>
          <w:lang w:val="el" w:eastAsia="el"/>
        </w:rPr>
        <w:t>2.6.</w:t>
      </w:r>
      <w:r>
        <w:rPr>
          <w:b/>
          <w:bCs/>
          <w:u w:val="single"/>
          <w:lang w:val="el" w:eastAsia="el"/>
        </w:rPr>
        <w:t xml:space="preserve"> Η αποστολή του ομαδοποιημένου αρχείου s.tmp θα πρέπει να είναι σύμφωνη με όσα περιγράφονται στην ΠΟΛ 1166/2018 αναφορικά με την κρυπτογράφηση και το πρωτόκολλο επικοινωνίας με το ΠΣΦΗΜ. Το ΠΣΦΗΜ δεν αποδέχεται καμία απολύτως αποστολή s.tmp, αν δεν έχει προηγουμένως διαβιβαστεί επιτυχώς το s.txt του προηγούμενου Ζ. Μετά την επιτυχή αποστολή του ομαδοποιημένου αρχείου s.tmp, ο ΦΗΜ δεν έχει υποχρέωση φύλαξης του αρχείου αυτού.</w:t>
      </w:r>
    </w:p>
    <w:p>
      <w:pPr>
        <w:pStyle w:val="MainText"/>
        <w:spacing w:before="120" w:after="0"/>
        <w:rPr>
          <w:lang w:val="el" w:eastAsia="el"/>
        </w:rPr>
      </w:pPr>
      <w:r>
        <w:rPr>
          <w:b/>
          <w:bCs/>
          <w:u w:val="single"/>
          <w:lang w:val="el" w:eastAsia="el"/>
        </w:rPr>
        <w:t>2.7.</w:t>
      </w:r>
      <w:r>
        <w:rPr>
          <w:b/>
          <w:bCs/>
          <w:u w:val="single"/>
          <w:lang w:val="el" w:eastAsia="el"/>
        </w:rPr>
        <w:t xml:space="preserve"> Το ΠΣΦΗΜ στην απάντηση που στέλνει στον ΦΗΜ σχετικά με τη παραλαβή του αρχείου s.tmp, αναφέρει εκτός των άλλων και την περίοδο επικοινωνίας.</w:t>
      </w:r>
    </w:p>
    <w:p>
      <w:pPr>
        <w:spacing w:before="240" w:after="240"/>
        <w:rPr>
          <w:lang w:val="el" w:eastAsia="el"/>
        </w:rPr>
      </w:pPr>
      <w:r>
        <w:rPr>
          <w:b/>
          <w:bCs/>
          <w:u w:val="single"/>
          <w:lang w:val="el" w:eastAsia="el"/>
        </w:rPr>
        <w:t>Ο ΦΗΜ αν δεν λάβει απάντηση επιτυχίας για την αποστολή του αρχείου s.tmp (ή αν δεν λάβει καθόλου απάντηση), στο επόμενο ομαδοποιημένο αρχείο s.tmp που πρόκειται να στείλει, περιλαμβάνει και όσα e.txt δεν έχουν διαβιβαστεί επιτυχώς από το προηγούμενο (ή προηγούμενα) s.tmp αρχείο.</w:t>
      </w:r>
    </w:p>
    <w:p>
      <w:pPr>
        <w:pStyle w:val="MainText"/>
        <w:spacing w:before="120" w:after="0"/>
        <w:rPr>
          <w:lang w:val="el" w:eastAsia="el"/>
        </w:rPr>
      </w:pPr>
      <w:r>
        <w:rPr>
          <w:b/>
          <w:bCs/>
          <w:u w:val="single"/>
          <w:lang w:val="el" w:eastAsia="el"/>
        </w:rPr>
        <w:t>2.8.</w:t>
      </w:r>
      <w:r>
        <w:rPr>
          <w:b/>
          <w:bCs/>
          <w:u w:val="single"/>
          <w:lang w:val="el" w:eastAsia="el"/>
        </w:rPr>
        <w:t xml:space="preserve"> Το αρχείο ημέρας s.txt αποστέλλεται όπως ορίζεται στην ΠΟΛ 1166/2018 και το ΠΣΦΗΜ επαληθεύει τα αρχεία e.txt που έχει λάβει καθ’ όλη τη διάρκεια της ημέρας και συμπληρώνει τυχόν απώλειες.</w:t>
      </w:r>
    </w:p>
    <w:p>
      <w:pPr>
        <w:pStyle w:val="MainText"/>
        <w:spacing w:before="120" w:after="0"/>
        <w:rPr>
          <w:lang w:val="el" w:eastAsia="el"/>
        </w:rPr>
      </w:pPr>
      <w:r>
        <w:rPr>
          <w:b/>
          <w:bCs/>
          <w:u w:val="single"/>
          <w:lang w:val="el" w:eastAsia="el"/>
        </w:rPr>
        <w:t>2.9.</w:t>
      </w:r>
      <w:r>
        <w:rPr>
          <w:b/>
          <w:bCs/>
          <w:u w:val="single"/>
          <w:lang w:val="el" w:eastAsia="el"/>
        </w:rPr>
        <w:t xml:space="preserve"> Σε κάθε επικοινωνία μεταξύ ΦΗΜ και ΠΣΦΗΜ – ανεξαρτήτως αν υπάρχει κάποιο λάθος ή όχι - στο header της απάντησης του ΠΣΦΗΜ περιέχεται πάντοτε η παρακάτω πληροφορία:</w:t>
      </w:r>
    </w:p>
    <w:p>
      <w:pPr>
        <w:spacing w:before="240" w:after="240"/>
        <w:rPr>
          <w:lang w:val="el" w:eastAsia="el"/>
        </w:rPr>
      </w:pPr>
      <w:r>
        <w:rPr>
          <w:b/>
          <w:bCs/>
          <w:u w:val="single"/>
          <w:lang w:val="el" w:eastAsia="el"/>
        </w:rPr>
        <w:t>RepeatPostAfter: Ν</w:t>
      </w:r>
    </w:p>
    <w:p>
      <w:pPr>
        <w:spacing w:before="240" w:after="240"/>
        <w:rPr>
          <w:lang w:val="el" w:eastAsia="el"/>
        </w:rPr>
      </w:pPr>
      <w:r>
        <w:rPr>
          <w:b/>
          <w:bCs/>
          <w:u w:val="single"/>
          <w:lang w:val="el" w:eastAsia="el"/>
        </w:rPr>
        <w:t>όπου Ν είναι ο ακέραιος αριθμός που καθορίζει (σε λεπτά της ώρας) την περίοδο επικοινωνίας, δηλαδή το διάστημα του χρόνου για την επόμενη επικοινωνία.</w:t>
      </w:r>
    </w:p>
    <w:p>
      <w:pPr>
        <w:spacing w:before="240" w:after="240"/>
        <w:rPr>
          <w:lang w:val="el" w:eastAsia="el"/>
        </w:rPr>
      </w:pPr>
      <w:r>
        <w:rPr>
          <w:b/>
          <w:bCs/>
          <w:u w:val="single"/>
          <w:lang w:val="el" w:eastAsia="el"/>
        </w:rPr>
        <w:t>Η περίοδος επικοινωνίας αποθηκεύεται σε κάθε ΦΗΜ με τέτοιο τρόπο ούτως ώστε τυχόν αποσύνδεση από την ηλεκτρική τροφοδοσία ή κλείσιμο του ΦΗΜ να μην την μηδενίζει, αλλά αντιθέτως η τιμή της να διατηρείται πάντοτε ίση με αυτήν που έστειλε το ΠΣΦΗΜ.</w:t>
      </w:r>
    </w:p>
    <w:p>
      <w:pPr>
        <w:spacing w:before="240" w:after="240"/>
        <w:rPr>
          <w:lang w:val="el" w:eastAsia="el"/>
        </w:rPr>
      </w:pPr>
      <w:r>
        <w:rPr>
          <w:b/>
          <w:bCs/>
          <w:u w:val="single"/>
          <w:lang w:val="el" w:eastAsia="el"/>
        </w:rPr>
        <w:t xml:space="preserve">Σε περίπτωση που δεν διαπιστωθούν λάθη, το ΠΣΦΗΜ απαντάει με την ένδειξη OK (λατινικοί χαρακτήρες) επιβεβαιώνοντας έτσι την επιτυχή ολοκλήρωση της διαβίβασης του </w:t>
      </w:r>
      <w:r>
        <w:rPr>
          <w:b/>
          <w:bCs/>
          <w:u w:val="single"/>
          <w:lang w:val="el" w:eastAsia="el"/>
        </w:rPr>
        <w:t xml:space="preserve">s.txt </w:t>
      </w:r>
      <w:r>
        <w:rPr>
          <w:b/>
          <w:bCs/>
          <w:u w:val="single"/>
          <w:lang w:val="el" w:eastAsia="el"/>
        </w:rPr>
        <w:t xml:space="preserve">ή του </w:t>
      </w:r>
      <w:r>
        <w:rPr>
          <w:b/>
          <w:bCs/>
          <w:u w:val="single"/>
          <w:lang w:val="el" w:eastAsia="el"/>
        </w:rPr>
        <w:t xml:space="preserve">s.tmp </w:t>
      </w:r>
      <w:r>
        <w:rPr>
          <w:b/>
          <w:bCs/>
          <w:u w:val="single"/>
          <w:lang w:val="el" w:eastAsia="el"/>
        </w:rPr>
        <w:t>αρχείου, κατά περίπτωση.</w:t>
      </w:r>
    </w:p>
    <w:p>
      <w:pPr>
        <w:spacing w:before="240" w:after="240"/>
        <w:rPr>
          <w:lang w:val="el" w:eastAsia="el"/>
        </w:rPr>
      </w:pPr>
      <w:r>
        <w:rPr>
          <w:b/>
          <w:bCs/>
          <w:u w:val="single"/>
          <w:lang w:val="el" w:eastAsia="el"/>
        </w:rPr>
        <w:t>Σε περίπτωση που υπάρχει κάποιο λάθος, το ΠΣΦΗΜ απαντάει με 3 πεδία, χωρισμένα με delimiter (;), από τα οποία το πρώτο είναι πάντα η ένδειξη ERR το δεύτερο ο κωδικός λάθους σύμφωνα με τον κατωτέρω πίνακα λαθών, και το τρίτο μια παράμετρος για επεξήγηση του λάθους.</w:t>
      </w:r>
    </w:p>
    <w:p>
      <w:pPr>
        <w:spacing w:before="240" w:after="240"/>
        <w:rPr>
          <w:lang w:val="el" w:eastAsia="el"/>
        </w:rPr>
      </w:pPr>
      <w:r>
        <w:rPr>
          <w:b/>
          <w:bCs/>
          <w:u w:val="single"/>
          <w:lang w:val="el" w:eastAsia="el"/>
        </w:rPr>
        <w:t>Πίνακας λαθών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03"/>
        <w:gridCol w:w="6068"/>
        <w:gridCol w:w="2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Λάθος ονομασία αρχείου S.TXT ή S.TMP (πχ. Όχι 31 χαρακτήρες, λάθος σε τμήματα του ονόματος,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=Λάθος S/N Δ.Δ. (πχ. δεν είναι καταχωρημένος στην βάση της ΑΑΔΕ, οι χαρακτήρες δεν είναι λατινικοί,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To Z έχει ήδη υποβληθεί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 Τελευταίος αριθμός υποβληθέντος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 Λείπει το προηγούμενο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 Τελευταίος αριθμός υποβληθέντος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Πιθανό λάθος στην κωδικοποίηση/ κρυπτογράφηση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 Δεν συμφωνούν οι υπογραφές με το d.txt ή το d.tmp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Πολύ γρήγορη αποστολή δεδομένων, επαναλάβατε.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Η επιστροφή οποιουδήποτε λάθους που περιγράφεται στον ανωτέρω πίνακα από το ΠΣΦΗΜ ολοκληρώνει ανεπιτυχώς την επικοινωνία, καθιστώντας μη αποδεκτή την διαβίβαση του αρχείου s.txt ή του αρχείου s.tmp.</w:t>
      </w:r>
    </w:p>
    <w:p>
      <w:pPr>
        <w:spacing w:before="240" w:after="240"/>
        <w:rPr>
          <w:lang w:val="el" w:eastAsia="el"/>
        </w:rPr>
      </w:pPr>
      <w:r>
        <w:rPr>
          <w:b/>
          <w:bCs/>
          <w:u w:val="single"/>
          <w:lang w:val="el" w:eastAsia="el"/>
        </w:rPr>
        <w:t>Κάθε άλλη απάντηση (εκτός της επιτυχημένης) από το ΠΣΦΗΜ, θεωρείται επίσης λάθος για άγνωστο λόγο (π.χ. δυσλειτουργία κάποιου υποσυστήματος του ΠΣΦΗΜ).</w:t>
      </w:r>
    </w:p>
    <w:p>
      <w:pPr>
        <w:pStyle w:val="Heading6"/>
        <w:spacing w:before="240" w:after="240"/>
        <w:rPr>
          <w:lang w:val="el" w:eastAsia="el"/>
        </w:rPr>
      </w:pPr>
      <w:r>
        <w:rPr>
          <w:b/>
          <w:bCs/>
          <w:u w:val="single"/>
          <w:lang w:val="el" w:eastAsia="el"/>
        </w:rPr>
        <w:t>Άρθρο 3.</w:t>
      </w:r>
      <w:r>
        <w:rPr>
          <w:b/>
          <w:bCs/>
          <w:u w:val="single"/>
          <w:lang w:val="el" w:eastAsia="el"/>
        </w:rPr>
        <w:t xml:space="preserve"> </w:t>
      </w:r>
    </w:p>
    <w:p>
      <w:pPr>
        <w:pStyle w:val="Heading6"/>
        <w:spacing w:before="240" w:after="240"/>
        <w:rPr>
          <w:lang w:val="el" w:eastAsia="el"/>
        </w:rPr>
      </w:pPr>
      <w:r>
        <w:rPr>
          <w:b/>
          <w:bCs/>
          <w:u w:val="single"/>
          <w:lang w:val="el" w:eastAsia="el"/>
        </w:rPr>
        <w:t>QR CODE – Παρουσίαση του παραστατικού σε κινητό, tablet, HY.</w:t>
      </w:r>
    </w:p>
    <w:p>
      <w:pPr>
        <w:spacing w:before="240" w:after="240"/>
        <w:rPr>
          <w:lang w:val="el" w:eastAsia="el"/>
        </w:rPr>
      </w:pPr>
      <w:r>
        <w:rPr>
          <w:b/>
          <w:bCs/>
          <w:u w:val="single"/>
          <w:lang w:val="el" w:eastAsia="el"/>
        </w:rPr>
        <w:t>Για τη διευκόλυνση του ελέγχου ο γραμμωτός κώδικας στο τέλος της απόδειξης - όπως αυτός περιγράφεται στην ΠΟΛ1220/2012 – αντικαθίσταται από δισδιάστατο γραμμωτό κώδικα (QR Code) ελαχίστων διαστάσεων 18 χιλιοστά x 18 χιλιοστά. Στην περίπτωση εκτυπωτών ρολού, (roll printer) ο QR CODE πρέπει να τυπώνεται στο τέλος της απόδειξης ή του παραστατικού έτσι ώστε να μην υπάρχει δεξιά ή αριστερά αυτού οποιοδήποτε άλλο κείμενο. Ο QR CODE θα πρέπει να παράγεται και από τα συστήματα που χρησιμοποιούν ΕΑΦΔΣΣ, από τον driver τύπου Α, ή από την εφαρμογή εμπορικής διαχείρισης που εκτυπώνει τα παραστατικά, όταν χρησιμοποιείται driver τύπου Β. Ο QR CODE μπορεί να παραβλεφθεί, εφόσον χρησιμοποιείται αποδεδειγμένα εκτυπωτής χωρίς δυνατότητα εκτύπωσης γραφικών (πχ. ορισμένοι τύποι dot matrix, ορισμένοι τύποι line printer, κλπ).</w:t>
      </w:r>
    </w:p>
    <w:p>
      <w:pPr>
        <w:spacing w:before="240" w:after="240"/>
        <w:rPr>
          <w:lang w:val="el" w:eastAsia="el"/>
        </w:rPr>
      </w:pPr>
      <w:r>
        <w:rPr>
          <w:b/>
          <w:bCs/>
          <w:u w:val="single"/>
          <w:lang w:val="el" w:eastAsia="el"/>
        </w:rPr>
        <w:t>Το περιεχόμενο του QR code επαυξάνεται με την ΠΑΗΨΣ του αρχείου e.txt της κάθε απόδειξης και με το URL της εφαρμογής ελέγχου στο ΠΣΦΗΜ, το οποίο δημιουργείται ως εξής:</w:t>
      </w:r>
    </w:p>
    <w:p>
      <w:pPr>
        <w:spacing w:before="240" w:after="240"/>
        <w:rPr>
          <w:lang w:val="el" w:eastAsia="el"/>
        </w:rPr>
      </w:pPr>
      <w:r>
        <w:rPr>
          <w:b/>
          <w:bCs/>
          <w:u w:val="single"/>
          <w:lang w:val="el" w:eastAsia="el"/>
        </w:rPr>
        <w:t>URL εφαρμογής ελέγχου με την προσθήκη URL παραμέτρου “SIG” με τα ακόλουθα δεδομένα: Σειριακός Αριθμός Φορολογικού Μηχανισμού – 11 χαρακτήρες | Αύξων προοδευτικός αριθμός σήμανσης – 8 ψηφία σε μορφή 00000000 | υπογραφή SHA-1 του αντίστοιχου e.txt - 40 δεκαεξαδικοί χαρακτήρες | συνολική αξία.</w:t>
      </w:r>
    </w:p>
    <w:p>
      <w:pPr>
        <w:spacing w:before="240" w:after="240"/>
        <w:rPr>
          <w:lang w:val="el" w:eastAsia="el"/>
        </w:rPr>
      </w:pPr>
      <w:r>
        <w:rPr>
          <w:b/>
          <w:bCs/>
          <w:u w:val="single"/>
          <w:lang w:val="el" w:eastAsia="el"/>
        </w:rPr>
        <w:t>Παράδειγμα:</w:t>
      </w:r>
    </w:p>
    <w:p>
      <w:pPr>
        <w:spacing w:before="240" w:after="240"/>
        <w:rPr>
          <w:lang w:val="el" w:eastAsia="el"/>
        </w:rPr>
      </w:pPr>
      <w:r>
        <w:rPr>
          <w:b/>
          <w:bCs/>
          <w:u w:val="single"/>
          <w:lang w:val="el" w:eastAsia="el"/>
        </w:rPr>
        <w:t>Σειριακός Αριθμός ΦΗΜ = GRT99000204</w:t>
      </w:r>
    </w:p>
    <w:p>
      <w:pPr>
        <w:spacing w:before="240" w:after="240"/>
        <w:rPr>
          <w:lang w:val="el" w:eastAsia="el"/>
        </w:rPr>
      </w:pPr>
      <w:r>
        <w:rPr>
          <w:b/>
          <w:bCs/>
          <w:u w:val="single"/>
          <w:lang w:val="el" w:eastAsia="el"/>
        </w:rPr>
        <w:t>Αύξων προοδευτικός αριθμός σήμανσης=00000387</w:t>
      </w:r>
    </w:p>
    <w:p>
      <w:pPr>
        <w:spacing w:before="240" w:after="240"/>
        <w:rPr>
          <w:lang w:val="el" w:eastAsia="el"/>
        </w:rPr>
      </w:pPr>
      <w:r>
        <w:rPr>
          <w:b/>
          <w:bCs/>
          <w:u w:val="single"/>
          <w:lang w:val="el" w:eastAsia="el"/>
        </w:rPr>
        <w:t>Υπογραφή SHA-1 = 0EA2C079E722C361C6297D10F02955CA413695A9</w:t>
      </w:r>
    </w:p>
    <w:p>
      <w:pPr>
        <w:spacing w:before="240" w:after="240"/>
        <w:rPr>
          <w:lang w:val="el" w:eastAsia="el"/>
        </w:rPr>
      </w:pPr>
      <w:r>
        <w:rPr>
          <w:b/>
          <w:bCs/>
          <w:u w:val="single"/>
          <w:lang w:val="el" w:eastAsia="el"/>
        </w:rPr>
        <w:t>Ποσό= 18.35</w:t>
      </w:r>
    </w:p>
    <w:p>
      <w:pPr>
        <w:spacing w:before="240" w:after="240"/>
        <w:rPr>
          <w:lang w:val="el" w:eastAsia="el"/>
        </w:rPr>
      </w:pPr>
      <w:r>
        <w:rPr>
          <w:b/>
          <w:bCs/>
          <w:u w:val="single"/>
          <w:lang w:val="el" w:eastAsia="el"/>
        </w:rPr>
        <w:t>QR Code message :</w:t>
      </w:r>
    </w:p>
    <w:p>
      <w:pPr>
        <w:spacing w:before="240" w:after="240"/>
        <w:rPr>
          <w:lang w:val="el" w:eastAsia="el"/>
        </w:rPr>
      </w:pPr>
      <w:hyperlink r:id="rId7" w:history="1">
        <w:r>
          <w:rPr>
            <w:rStyle w:val="Hyperlink"/>
            <w:b/>
            <w:bCs/>
            <w:color w:val="0000EE"/>
            <w:u w:color="0000EE"/>
            <w:lang w:val="el" w:eastAsia="el"/>
          </w:rPr>
          <w:t>https://www1.aade.gr/tameiakes/myweb/q1.php?</w:t>
        </w:r>
      </w:hyperlink>
    </w:p>
    <w:p>
      <w:pPr>
        <w:spacing w:before="240" w:after="240"/>
        <w:rPr>
          <w:lang w:val="el" w:eastAsia="el"/>
        </w:rPr>
      </w:pPr>
      <w:hyperlink r:id="rId8" w:history="1">
        <w:r>
          <w:rPr>
            <w:rStyle w:val="Hyperlink"/>
            <w:b/>
            <w:bCs/>
            <w:color w:val="0000EE"/>
            <w:u w:color="0000EE"/>
            <w:lang w:val="el" w:eastAsia="el"/>
          </w:rPr>
          <w:t>SIG=GRT99000204000003870EA2C079E722C361C6297D10F02955CA</w:t>
        </w:r>
      </w:hyperlink>
      <w:hyperlink r:id="rId9" w:history="1">
        <w:r>
          <w:rPr>
            <w:rStyle w:val="Hyperlink"/>
            <w:b/>
            <w:bCs/>
            <w:color w:val="0000EE"/>
            <w:u w:color="0000EE"/>
            <w:lang w:val="el" w:eastAsia="el"/>
          </w:rPr>
          <w:t>413695A918.35</w:t>
        </w:r>
      </w:hyperlink>
    </w:p>
    <w:p>
      <w:pPr>
        <w:spacing w:before="240" w:after="240"/>
        <w:rPr>
          <w:lang w:val="el" w:eastAsia="el"/>
        </w:rPr>
      </w:pPr>
      <w:r>
        <w:rPr>
          <w:b/>
          <w:bCs/>
          <w:u w:val="single"/>
          <w:lang w:val="el" w:eastAsia="el"/>
        </w:rPr>
        <w:t>Η χρήση του QR code είναι υποχρεωτική για όλους τους ΦΗΜ (ΦΤΜ, ΑΔΗΜΕ, ΕΑΦΔΣΣ) με την προαναφερθείσα εξαίρεση χρήσης ορισμένων εκτυπωτών. Επίσης παρέχεται εξαίρεση για όσες εγκεκριμένες ΦΤΜ και ΑΔΗΜΕ δεν είναι δυνατή η εκτύπωση QR code, υπό την προϋπόθεση ότι η κατασκευάστρια εταιρία διατηρεί εφαρμογή στo Google Play Store και στο Apple Appstore, για smartphones, ανάγνωσης του υπάρχοντος barcode και παρουσίασης του παραστατικού στην οθόνη του smartphone του ενδιαφερόμενου πολίτη.</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4Διαδικασία αναβάθμισης firmware ΦΗΜ</w:t>
      </w:r>
    </w:p>
    <w:p>
      <w:pPr>
        <w:pStyle w:val="MainText"/>
        <w:spacing w:before="120" w:after="0"/>
        <w:rPr>
          <w:lang w:val="el" w:eastAsia="el"/>
        </w:rPr>
      </w:pPr>
      <w:r>
        <w:rPr>
          <w:b/>
          <w:bCs/>
          <w:u w:val="single"/>
          <w:lang w:val="el" w:eastAsia="el"/>
        </w:rPr>
        <w:t>4.1.</w:t>
      </w:r>
      <w:r>
        <w:rPr>
          <w:b/>
          <w:bCs/>
          <w:u w:val="single"/>
          <w:lang w:val="el" w:eastAsia="el"/>
        </w:rPr>
        <w:t xml:space="preserve"> Το firmware του ΦΗΜ κατατίθεται στην ΑΑΔΕ με τον αριθμό έκδοσης του, την ημερομηνία δημιουργίας αυτού και την περιγραφή των αλλαγών που εμπεριέχει σε σχέση με την προηγούμενη έκδοση του firmware συγκεκριμένου τύπου ΦΗΜ. Σε περίπτωση που από την Α.Α.Δ.Ε. κριθεί απαραίτητο, γίνεται έλεγχος του firmware από αρμόδιο εργαστήριο ελέγχων ΦΗΜ.</w:t>
      </w:r>
    </w:p>
    <w:p>
      <w:pPr>
        <w:pStyle w:val="MainText"/>
        <w:spacing w:before="120" w:after="0"/>
        <w:rPr>
          <w:lang w:val="el" w:eastAsia="el"/>
        </w:rPr>
      </w:pPr>
      <w:r>
        <w:rPr>
          <w:b/>
          <w:bCs/>
          <w:u w:val="single"/>
          <w:lang w:val="el" w:eastAsia="el"/>
        </w:rPr>
        <w:t>4.2.</w:t>
      </w:r>
      <w:r>
        <w:rPr>
          <w:b/>
          <w:bCs/>
          <w:u w:val="single"/>
          <w:lang w:val="el" w:eastAsia="el"/>
        </w:rPr>
        <w:t xml:space="preserve"> Οι ΦΗΜ έχουν την δυνατότητα εμφάνισης ή εκτύπωσης του αριθμού έκδοσης και της ημερομηνίας του firmware τους, προς διευκόλυνση του ελέγχου. Ο κατασκευαστής γνωστοποιεί στην ΑΑΔΕ την διαδικασία που απαιτείται για την εμφάνιση ή την εκτύπωση των στοιχείων αυτών και την αναφέρει στο βιβλιάριο οδηγιών χρήσης.</w:t>
      </w:r>
    </w:p>
    <w:p>
      <w:pPr>
        <w:pStyle w:val="MainText"/>
        <w:spacing w:before="120" w:after="0"/>
        <w:rPr>
          <w:lang w:val="el" w:eastAsia="el"/>
        </w:rPr>
      </w:pPr>
      <w:r>
        <w:rPr>
          <w:b/>
          <w:bCs/>
          <w:u w:val="single"/>
          <w:lang w:val="el" w:eastAsia="el"/>
        </w:rPr>
        <w:t>4.3.</w:t>
      </w:r>
      <w:r>
        <w:rPr>
          <w:b/>
          <w:bCs/>
          <w:u w:val="single"/>
          <w:lang w:val="el" w:eastAsia="el"/>
        </w:rPr>
        <w:t xml:space="preserve"> Η αναβάθμιση firmware ΦΗΜ επιτρέπεται εφόσον οι ημερήσιοι αθροιστές είναι μηδενικοί, δηλαδή μετά από έκδοση ημερήσιου Δελτίου Ζ και μόνο εφόσον το νέο firmware είναι νεώτερης έκδοσης από το τρέχον, καθώς και μόνο μετά την εισαγωγή ειδικού κωδικού εξουσιοδοτημένου τεχνικού.</w:t>
      </w:r>
    </w:p>
    <w:p>
      <w:pPr>
        <w:pStyle w:val="MainText"/>
        <w:spacing w:before="120" w:after="0"/>
        <w:rPr>
          <w:lang w:val="el" w:eastAsia="el"/>
        </w:rPr>
      </w:pPr>
      <w:r>
        <w:rPr>
          <w:b/>
          <w:bCs/>
          <w:u w:val="single"/>
          <w:lang w:val="el" w:eastAsia="el"/>
        </w:rPr>
        <w:t>4.4.</w:t>
      </w:r>
      <w:r>
        <w:rPr>
          <w:b/>
          <w:bCs/>
          <w:u w:val="single"/>
          <w:lang w:val="el" w:eastAsia="el"/>
        </w:rPr>
        <w:t xml:space="preserve"> Η αναβάθμιση μπορεί να γίνει μέσω ηλεκτρονικού μέσου αποθήκευσης (sd card, usb stick κλπ) που συνδέεται σε κατάλληλη υποδοχή που διαθέτει ο ΦΗΜ, ή με σύνδεση του ΦΗΜ σε Η/Υ μέσω κατάλληλου λογισμικού που διαθέτει ο κατασκευαστής.</w:t>
      </w:r>
    </w:p>
    <w:p>
      <w:pPr>
        <w:pStyle w:val="MainText"/>
        <w:spacing w:before="120" w:after="0"/>
        <w:rPr>
          <w:lang w:val="el" w:eastAsia="el"/>
        </w:rPr>
      </w:pPr>
      <w:r>
        <w:rPr>
          <w:b/>
          <w:bCs/>
          <w:u w:val="single"/>
          <w:lang w:val="el" w:eastAsia="el"/>
        </w:rPr>
        <w:t>4.5.</w:t>
      </w:r>
      <w:r>
        <w:rPr>
          <w:b/>
          <w:bCs/>
          <w:u w:val="single"/>
          <w:lang w:val="el" w:eastAsia="el"/>
        </w:rPr>
        <w:t xml:space="preserve"> Ο κατασκευαστής του ΦΗΜ λαμβάνει τα κατάλληλα μέτρα για να εξασφαλιστεί η ολοκληρωμένη και ασφαλής αναβάθμιση του firmware και η προστασία από τυχόν κακόβουλες παρεμβάσεις.</w:t>
      </w:r>
    </w:p>
    <w:p>
      <w:pPr>
        <w:pStyle w:val="MainText"/>
        <w:spacing w:before="120" w:after="0"/>
        <w:rPr>
          <w:lang w:val="el" w:eastAsia="el"/>
        </w:rPr>
      </w:pPr>
      <w:r>
        <w:rPr>
          <w:b/>
          <w:bCs/>
          <w:u w:val="single"/>
          <w:lang w:val="el" w:eastAsia="el"/>
        </w:rPr>
        <w:t>4.6.</w:t>
      </w:r>
      <w:r>
        <w:rPr>
          <w:b/>
          <w:bCs/>
          <w:u w:val="single"/>
          <w:lang w:val="el" w:eastAsia="el"/>
        </w:rPr>
        <w:t xml:space="preserve"> Με το πέρας της διαδικασίας αναβάθμισης του firmware, ο εξουσιοδοτημένος τεχνικός ενημερώνει σχετικά το Βιβλιάριο Συντήρησης και Επισκευής του ΦΗΜ.</w:t>
      </w:r>
    </w:p>
    <w:p>
      <w:pPr>
        <w:pStyle w:val="Heading6"/>
        <w:spacing w:before="240" w:after="240"/>
        <w:rPr>
          <w:lang w:val="el" w:eastAsia="el"/>
        </w:rPr>
      </w:pPr>
      <w:r>
        <w:rPr>
          <w:b/>
          <w:bCs/>
          <w:u w:val="single"/>
          <w:lang w:val="el" w:eastAsia="el"/>
        </w:rPr>
        <w:t>Άρθρο 5</w:t>
      </w:r>
      <w:r>
        <w:rPr>
          <w:b/>
          <w:bCs/>
          <w:u w:val="single"/>
          <w:lang w:val="el" w:eastAsia="el"/>
        </w:rPr>
        <w:t xml:space="preserve"> </w:t>
      </w:r>
    </w:p>
    <w:p>
      <w:pPr>
        <w:pStyle w:val="Heading6"/>
        <w:spacing w:before="240" w:after="240"/>
        <w:rPr>
          <w:lang w:val="el" w:eastAsia="el"/>
        </w:rPr>
      </w:pPr>
      <w:r>
        <w:rPr>
          <w:b/>
          <w:bCs/>
          <w:u w:val="single"/>
          <w:lang w:val="el" w:eastAsia="el"/>
        </w:rPr>
        <w:t>Κυρώσεις</w:t>
      </w:r>
    </w:p>
    <w:p>
      <w:pPr>
        <w:spacing w:before="240" w:after="240"/>
        <w:rPr>
          <w:lang w:val="el" w:eastAsia="el"/>
        </w:rPr>
      </w:pPr>
      <w:r>
        <w:rPr>
          <w:b/>
          <w:bCs/>
          <w:u w:val="single"/>
          <w:lang w:val="el" w:eastAsia="el"/>
        </w:rPr>
        <w:t>Η μη τήρηση των διατάξεων της παρούσας Απόφασης συνιστά παράβαση των διατάξεων του άρθρου 54 του ν.4174/2013.</w:t>
      </w:r>
    </w:p>
    <w:p>
      <w:pPr>
        <w:pStyle w:val="Heading6"/>
        <w:spacing w:before="240" w:after="240"/>
        <w:rPr>
          <w:lang w:val="el" w:eastAsia="el"/>
        </w:rPr>
      </w:pPr>
      <w:r>
        <w:rPr>
          <w:b/>
          <w:bCs/>
          <w:u w:val="single"/>
          <w:lang w:val="el" w:eastAsia="el"/>
        </w:rPr>
        <w:t>Άρθρο 6</w:t>
      </w:r>
      <w:r>
        <w:rPr>
          <w:b/>
          <w:bCs/>
          <w:u w:val="single"/>
          <w:lang w:val="el" w:eastAsia="el"/>
        </w:rPr>
        <w:t xml:space="preserve"> </w:t>
      </w:r>
    </w:p>
    <w:p>
      <w:pPr>
        <w:pStyle w:val="Heading6"/>
        <w:spacing w:before="240" w:after="240"/>
        <w:rPr>
          <w:lang w:val="el" w:eastAsia="el"/>
        </w:rPr>
      </w:pPr>
      <w:r>
        <w:rPr>
          <w:b/>
          <w:bCs/>
          <w:u w:val="single"/>
          <w:lang w:val="el" w:eastAsia="el"/>
        </w:rPr>
        <w:t>Λοιπές διατάξεις και έναρξη ισχύος</w:t>
      </w:r>
    </w:p>
    <w:p>
      <w:pPr>
        <w:pStyle w:val="MainText"/>
        <w:spacing w:before="120" w:after="0"/>
        <w:rPr>
          <w:lang w:val="el" w:eastAsia="el"/>
        </w:rPr>
      </w:pPr>
      <w:r>
        <w:rPr>
          <w:b/>
          <w:bCs/>
          <w:u w:val="single"/>
          <w:lang w:val="el" w:eastAsia="el"/>
        </w:rPr>
        <w:t>6.1.</w:t>
      </w:r>
      <w:r>
        <w:rPr>
          <w:b/>
          <w:bCs/>
          <w:u w:val="single"/>
          <w:lang w:val="el" w:eastAsia="el"/>
        </w:rPr>
        <w:t xml:space="preserve"> Ο Πίνακας Λαθών 1 της ΠΟΛ 1166/2018 αντικαθίσταται από τον Πίνακα Λαθών της παρ. </w:t>
      </w:r>
      <w:r>
        <w:rPr>
          <w:b/>
          <w:bCs/>
          <w:u w:val="single"/>
          <w:lang w:val="el" w:eastAsia="el"/>
        </w:rPr>
        <w:t xml:space="preserve">2.9 </w:t>
      </w:r>
      <w:r>
        <w:rPr>
          <w:b/>
          <w:bCs/>
          <w:u w:val="single"/>
          <w:lang w:val="el" w:eastAsia="el"/>
        </w:rPr>
        <w:t>του άρθρου 2.</w:t>
      </w:r>
    </w:p>
    <w:p>
      <w:pPr>
        <w:pStyle w:val="MainText"/>
        <w:spacing w:before="120" w:after="0"/>
        <w:rPr>
          <w:lang w:val="el" w:eastAsia="el"/>
        </w:rPr>
      </w:pPr>
      <w:r>
        <w:rPr>
          <w:b/>
          <w:bCs/>
          <w:u w:val="single"/>
          <w:lang w:val="el" w:eastAsia="el"/>
        </w:rPr>
        <w:t>6.2.</w:t>
      </w:r>
      <w:r>
        <w:rPr>
          <w:b/>
          <w:bCs/>
          <w:u w:val="single"/>
          <w:lang w:val="el" w:eastAsia="el"/>
        </w:rPr>
        <w:t xml:space="preserve"> Από την έναρξη ισχύος της παρούσας, καταργείται η διαδικασία αναβάθμισης firmware ΦΗΜ που περιγράφεται στο άρθρο 2.14.4 του ΚΕΦ2 της ΑΥΟ ΠΟΛ 1220/2012</w:t>
      </w:r>
    </w:p>
    <w:p>
      <w:pPr>
        <w:pStyle w:val="MainText"/>
        <w:spacing w:before="120" w:after="0"/>
        <w:rPr>
          <w:lang w:val="el" w:eastAsia="el"/>
        </w:rPr>
      </w:pPr>
      <w:r>
        <w:rPr>
          <w:b/>
          <w:bCs/>
          <w:u w:val="single"/>
          <w:lang w:val="el" w:eastAsia="el"/>
        </w:rPr>
        <w:t>6.3.</w:t>
      </w:r>
      <w:r>
        <w:rPr>
          <w:b/>
          <w:bCs/>
          <w:u w:val="single"/>
          <w:lang w:val="el" w:eastAsia="el"/>
        </w:rPr>
        <w:t xml:space="preserve"> Η παρούσα Απόφαση ισχύει μετά από 4 μήνες από την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Διοικητής της Ανεξάρτητης Αρχής Δημοσίων Εσόδων</w:t>
      </w:r>
    </w:p>
    <w:p>
      <w:pPr>
        <w:spacing w:before="240" w:after="240"/>
        <w:rPr>
          <w:lang w:val="el" w:eastAsia="el"/>
        </w:rPr>
      </w:pPr>
      <w:r>
        <w:rPr>
          <w:b/>
          <w:bCs/>
          <w:u w:val="single"/>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u w:val="single"/>
          <w:lang w:val="el" w:eastAsia="el"/>
        </w:rPr>
        <w:t>1.</w:t>
      </w:r>
      <w:r>
        <w:rPr>
          <w:b/>
          <w:bCs/>
          <w:u w:val="single"/>
          <w:lang w:val="el" w:eastAsia="el"/>
        </w:rPr>
        <w:t xml:space="preserve"> Εθνικό Τυπογραφείο (ηλεκτρονική διεύθυνση “webmaster.et@et.gr”), για δημοσίευση της απόφασης</w:t>
      </w:r>
    </w:p>
    <w:p>
      <w:pPr>
        <w:pStyle w:val="MainText"/>
        <w:spacing w:before="120" w:after="0"/>
        <w:rPr>
          <w:lang w:val="el" w:eastAsia="el"/>
        </w:rPr>
      </w:pPr>
      <w:r>
        <w:rPr>
          <w:b/>
          <w:bCs/>
          <w:u w:val="single"/>
          <w:lang w:val="el" w:eastAsia="el"/>
        </w:rPr>
        <w:t>2.</w:t>
      </w:r>
      <w:r>
        <w:rPr>
          <w:b/>
          <w:bCs/>
          <w:u w:val="single"/>
          <w:lang w:val="el" w:eastAsia="el"/>
        </w:rPr>
        <w:t xml:space="preserve"> Σύνδεσμος Εισαγωγέων και Κατασκευαστών Ταμειακών Συστημάτων (ΣΕΚΤ) -Λ. Αθηνών 165 ΤΚ 12461 Χαϊδάρι. Για την ενημέρωση των μελών του</w:t>
      </w:r>
    </w:p>
    <w:p>
      <w:pPr>
        <w:pStyle w:val="MainText"/>
        <w:spacing w:before="120" w:after="0"/>
        <w:rPr>
          <w:lang w:val="el" w:eastAsia="el"/>
        </w:rPr>
      </w:pPr>
      <w:r>
        <w:rPr>
          <w:b/>
          <w:bCs/>
          <w:u w:val="single"/>
          <w:lang w:val="el" w:eastAsia="el"/>
        </w:rPr>
        <w:t>3.</w:t>
      </w:r>
      <w:r>
        <w:rPr>
          <w:b/>
          <w:bCs/>
          <w:u w:val="single"/>
          <w:lang w:val="el" w:eastAsia="el"/>
        </w:rPr>
        <w:t xml:space="preserve"> Σύνδεσμος Επιχειρήσεων Πληροφορικής &amp; Επικοινωνιών Ελλάδας (ΣΕΠΕ) Αμβροσίου Φραντζή 19 ΤΚ 11743 Αθήνα. Για την ενημέρωση των μελών του</w:t>
      </w:r>
    </w:p>
    <w:p>
      <w:pPr>
        <w:pStyle w:val="MainText"/>
        <w:spacing w:before="120" w:after="0"/>
        <w:rPr>
          <w:lang w:val="el" w:eastAsia="el"/>
        </w:rPr>
      </w:pPr>
      <w:r>
        <w:rPr>
          <w:b/>
          <w:bCs/>
          <w:u w:val="single"/>
          <w:lang w:val="el" w:eastAsia="el"/>
        </w:rPr>
        <w:t>4.</w:t>
      </w:r>
      <w:r>
        <w:rPr>
          <w:b/>
          <w:bCs/>
          <w:u w:val="single"/>
          <w:lang w:val="el" w:eastAsia="el"/>
        </w:rPr>
        <w:t xml:space="preserve"> ΔΙ.Σ.ΤΕ.ΠΛ.(με την παράκληση ανάρτησης στην ιστοσελίδα της Α.Α.Δ.Ε.)</w:t>
      </w:r>
    </w:p>
    <w:p>
      <w:pPr>
        <w:spacing w:before="240" w:after="240"/>
        <w:rPr>
          <w:lang w:val="el" w:eastAsia="el"/>
        </w:rPr>
      </w:pPr>
      <w:r>
        <w:rPr>
          <w:b/>
          <w:bCs/>
          <w:u w:val="single"/>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u w:val="single"/>
          <w:lang w:val="el" w:eastAsia="el"/>
        </w:rPr>
        <w:t>1.</w:t>
      </w:r>
      <w:r>
        <w:rPr>
          <w:b/>
          <w:bCs/>
          <w:u w:val="single"/>
          <w:lang w:val="el" w:eastAsia="el"/>
        </w:rPr>
        <w:t xml:space="preserve">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pStyle w:val="MainText"/>
        <w:spacing w:before="120" w:after="0"/>
        <w:rPr>
          <w:lang w:val="el" w:eastAsia="el"/>
        </w:rPr>
      </w:pPr>
      <w:r>
        <w:rPr>
          <w:b/>
          <w:bCs/>
          <w:u w:val="single"/>
          <w:lang w:val="el" w:eastAsia="el"/>
        </w:rPr>
        <w:t>2.</w:t>
      </w:r>
      <w:r>
        <w:rPr>
          <w:b/>
          <w:bCs/>
          <w:u w:val="single"/>
          <w:lang w:val="el" w:eastAsia="el"/>
        </w:rPr>
        <w:t xml:space="preserve">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pStyle w:val="MainText"/>
        <w:spacing w:before="120" w:after="0"/>
        <w:rPr>
          <w:lang w:val="el" w:eastAsia="el"/>
        </w:rPr>
      </w:pPr>
      <w:r>
        <w:rPr>
          <w:b/>
          <w:bCs/>
          <w:u w:val="single"/>
          <w:lang w:val="el" w:eastAsia="el"/>
        </w:rPr>
        <w:t>3.</w:t>
      </w:r>
      <w:r>
        <w:rPr>
          <w:b/>
          <w:bCs/>
          <w:u w:val="single"/>
          <w:lang w:val="el" w:eastAsia="el"/>
        </w:rPr>
        <w:t xml:space="preserve"> Υπουργείο Οικονομικών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Γραφείο Υπουργού</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Γραφείο Υφυπουργού</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Γραφείο Ειδικού Γραμματέα Σ.Δ.Ο.Ε.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Κεντρική Υπηρεσία Σ.Δ.Ο.Ε. και Περιφερειακές Δ/νσεις.</w:t>
      </w:r>
    </w:p>
    <w:p>
      <w:pPr>
        <w:pStyle w:val="MainText"/>
        <w:spacing w:before="120" w:after="0"/>
        <w:rPr>
          <w:lang w:val="el" w:eastAsia="el"/>
        </w:rPr>
      </w:pPr>
      <w:r>
        <w:rPr>
          <w:b/>
          <w:bCs/>
          <w:u w:val="single"/>
          <w:lang w:val="el" w:eastAsia="el"/>
        </w:rPr>
        <w:t>4.</w:t>
      </w:r>
      <w:r>
        <w:rPr>
          <w:b/>
          <w:bCs/>
          <w:u w:val="single"/>
          <w:lang w:val="el" w:eastAsia="el"/>
        </w:rPr>
        <w:t xml:space="preserve"> Ανεξάρτητη Αρχή Δημοσίων Εσόδων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Φορολογικές Περιφέρειες: Αθηνών, Πειραιώς,Θεσσαλονίκης, Πατρών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ΔΙ.Π.Α.Ε.Ε.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Όλες οι Υ.Ε.Δ.Δ.Ε.</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Δ.Α.Φ.Ε.</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Όλες οι Δ.Ο.Υ.</w:t>
      </w:r>
    </w:p>
    <w:p>
      <w:pPr>
        <w:spacing w:before="240" w:after="240"/>
        <w:rPr>
          <w:lang w:val="el" w:eastAsia="el"/>
        </w:rPr>
      </w:pPr>
      <w:r>
        <w:rPr>
          <w:b/>
          <w:bCs/>
          <w:u w:val="single"/>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u w:val="single"/>
          <w:lang w:val="el" w:eastAsia="el"/>
        </w:rPr>
        <w:t>1.</w:t>
      </w:r>
      <w:r>
        <w:rPr>
          <w:b/>
          <w:bCs/>
          <w:u w:val="single"/>
          <w:lang w:val="el" w:eastAsia="el"/>
        </w:rPr>
        <w:t xml:space="preserve"> Γραφείο κου Διοικητή της Α.Α.Δ.Ε.</w:t>
      </w:r>
    </w:p>
    <w:p>
      <w:pPr>
        <w:pStyle w:val="MainText"/>
        <w:spacing w:before="120" w:after="0"/>
        <w:rPr>
          <w:lang w:val="el" w:eastAsia="el"/>
        </w:rPr>
      </w:pPr>
      <w:r>
        <w:rPr>
          <w:b/>
          <w:bCs/>
          <w:u w:val="single"/>
          <w:lang w:val="el" w:eastAsia="el"/>
        </w:rPr>
        <w:t>2.</w:t>
      </w:r>
      <w:r>
        <w:rPr>
          <w:b/>
          <w:bCs/>
          <w:u w:val="single"/>
          <w:lang w:val="el" w:eastAsia="el"/>
        </w:rPr>
        <w:t xml:space="preserve"> Προϊσταμένους των Γενικών Διευθύνσεων της Α.Α.Δ.Ε.</w:t>
      </w:r>
    </w:p>
    <w:p>
      <w:pPr>
        <w:pStyle w:val="MainText"/>
        <w:spacing w:before="120" w:after="0"/>
        <w:rPr>
          <w:lang w:val="el" w:eastAsia="el"/>
        </w:rPr>
      </w:pPr>
      <w:r>
        <w:rPr>
          <w:b/>
          <w:bCs/>
          <w:u w:val="single"/>
          <w:lang w:val="el" w:eastAsia="el"/>
        </w:rPr>
        <w:t>3.</w:t>
      </w:r>
      <w:r>
        <w:rPr>
          <w:b/>
          <w:bCs/>
          <w:u w:val="single"/>
          <w:lang w:val="el" w:eastAsia="el"/>
        </w:rPr>
        <w:t xml:space="preserve"> Διευθύνσεις της Γενικής Διεύθυνσης Φορολογικής Διοίκησης</w:t>
      </w:r>
    </w:p>
    <w:p>
      <w:pPr>
        <w:pStyle w:val="MainText"/>
        <w:spacing w:before="120" w:after="0"/>
        <w:rPr>
          <w:lang w:val="el" w:eastAsia="el"/>
        </w:rPr>
      </w:pPr>
      <w:r>
        <w:rPr>
          <w:b/>
          <w:bCs/>
          <w:u w:val="single"/>
          <w:lang w:val="el" w:eastAsia="el"/>
        </w:rPr>
        <w:t>4.</w:t>
      </w:r>
      <w:r>
        <w:rPr>
          <w:b/>
          <w:bCs/>
          <w:u w:val="single"/>
          <w:lang w:val="el" w:eastAsia="el"/>
        </w:rPr>
        <w:t xml:space="preserve"> Διεύθυνση Διαχείρισης Υποδομών</w:t>
      </w:r>
    </w:p>
    <w:p>
      <w:pPr>
        <w:pStyle w:val="MainText"/>
        <w:spacing w:before="120" w:after="0"/>
        <w:rPr>
          <w:lang w:val="el" w:eastAsia="el"/>
        </w:rPr>
      </w:pPr>
      <w:r>
        <w:rPr>
          <w:b/>
          <w:bCs/>
          <w:u w:val="single"/>
          <w:lang w:val="el" w:eastAsia="el"/>
        </w:rPr>
        <w:t>5.</w:t>
      </w:r>
      <w:r>
        <w:rPr>
          <w:b/>
          <w:bCs/>
          <w:u w:val="single"/>
          <w:lang w:val="el" w:eastAsia="el"/>
        </w:rPr>
        <w:t xml:space="preserve"> Αυτοτελές Tμήμα Ασφάλειας Γ.Δ.ΗΛΕ.Δ.</w:t>
      </w:r>
    </w:p>
    <w:p>
      <w:pPr>
        <w:pStyle w:val="MainText"/>
        <w:spacing w:before="120" w:after="0"/>
        <w:rPr>
          <w:lang w:val="el" w:eastAsia="el"/>
        </w:rPr>
      </w:pPr>
      <w:r>
        <w:rPr>
          <w:b/>
          <w:bCs/>
          <w:u w:val="single"/>
          <w:lang w:val="el" w:eastAsia="el"/>
        </w:rPr>
        <w:t>6.</w:t>
      </w:r>
      <w:r>
        <w:rPr>
          <w:b/>
          <w:bCs/>
          <w:u w:val="single"/>
          <w:lang w:val="el" w:eastAsia="el"/>
        </w:rPr>
        <w:t xml:space="preserve"> Διεύθυνση Νομικής Υποστήριξης</w:t>
      </w:r>
    </w:p>
    <w:p>
      <w:pPr>
        <w:pStyle w:val="MainText"/>
        <w:spacing w:before="120" w:after="0"/>
        <w:rPr>
          <w:lang w:val="el" w:eastAsia="el"/>
        </w:rPr>
      </w:pPr>
      <w:r>
        <w:rPr>
          <w:b/>
          <w:bCs/>
          <w:u w:val="single"/>
          <w:lang w:val="el" w:eastAsia="el"/>
        </w:rPr>
        <w:t>7.</w:t>
      </w:r>
      <w:r>
        <w:rPr>
          <w:b/>
          <w:bCs/>
          <w:u w:val="single"/>
          <w:lang w:val="el" w:eastAsia="el"/>
        </w:rPr>
        <w:t xml:space="preserve">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mavridis@aade.gr" TargetMode="External" /><Relationship Id="rId5" Type="http://schemas.openxmlformats.org/officeDocument/2006/relationships/hyperlink" Target="http://www.aade.gr/" TargetMode="External" /><Relationship Id="rId6" Type="http://schemas.openxmlformats.org/officeDocument/2006/relationships/hyperlink" Target="mailto:itsecurity@aade.gr" TargetMode="External" /><Relationship Id="rId7" Type="http://schemas.openxmlformats.org/officeDocument/2006/relationships/hyperlink" Target="https://www1.aade.gr/tameiakes/myweb/q1.php?SIG=GRT99000204000003870EA2C079E722C361C6297D10F02955CA413695A918.35" TargetMode="External" /><Relationship Id="rId8" Type="http://schemas.openxmlformats.org/officeDocument/2006/relationships/hyperlink" Target="https://www1.aade.gr/tameiakes/myweb/q1.php?SIG=GRT99000204000003870EA2C079E722C361C6297D10F02955CA413695A918.35" TargetMode="External" /><Relationship Id="rId9" Type="http://schemas.openxmlformats.org/officeDocument/2006/relationships/hyperlink" Target="https://www1.aade.gr/tameiakes/myweb/q1.php?SIG=GRT99000204000003870EA2C079E722C361C6297D10F02955CA413695A918.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