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60646/1915</w:t>
      </w:r>
    </w:p>
    <w:p>
      <w:pPr>
        <w:pStyle w:val="PreambelText"/>
        <w:spacing w:before="240" w:after="240"/>
        <w:rPr>
          <w:lang w:val="el" w:eastAsia="el"/>
        </w:rPr>
      </w:pPr>
      <w:r>
        <w:rPr>
          <w:b/>
          <w:bCs/>
          <w:lang w:val="el" w:eastAsia="el"/>
        </w:rPr>
        <w:t>Πρόγραμμα επιδότησης διακοπών εργαζομένων, ανέργων και οικογενειών αυτών περιόδου 20202021, με Επιταγή Κοινωνικού Τουρισμού».</w:t>
      </w:r>
    </w:p>
    <w:p>
      <w:pPr>
        <w:pStyle w:val="PreambelText"/>
        <w:spacing w:before="240" w:after="240"/>
        <w:rPr>
          <w:lang w:val="el" w:eastAsia="el"/>
        </w:rPr>
      </w:pPr>
      <w:r>
        <w:rPr>
          <w:b/>
          <w:bCs/>
          <w:lang w:val="el" w:eastAsia="el"/>
        </w:rPr>
        <w:t>ΟΙ ΥΠΟΥΡΓΟΙ ΟΙΚΟΝΟΜΙΚΩΝ</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άρθρου 34, παρ. 6, περ. β), υποπερ. εε)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 όπως έχει τροποποιηθεί και ισχύει.</w:t>
      </w:r>
    </w:p>
    <w:p>
      <w:pPr>
        <w:pStyle w:val="PreambelText"/>
        <w:spacing w:before="240" w:after="240"/>
        <w:rPr>
          <w:lang w:val="el" w:eastAsia="el"/>
        </w:rPr>
      </w:pPr>
      <w:r>
        <w:rPr>
          <w:lang w:val="el" w:eastAsia="el"/>
        </w:rPr>
        <w:t>2. Του άρθρου 20 του ν. 4270/2014 «Αρχές δημοσιονομικής διαχείρισης και εποπτείας (ενσωμάτωση της Οδηγίας 2011/85/ΕΕ) - δημόσιο λογιστικό και άλλες διατάξεις» (Α' 143), όπως έχει τροποποιηθεί και ισχύει.</w:t>
      </w:r>
    </w:p>
    <w:p>
      <w:pPr>
        <w:pStyle w:val="PreambelText"/>
        <w:spacing w:before="240" w:after="240"/>
        <w:rPr>
          <w:lang w:val="el" w:eastAsia="el"/>
        </w:rPr>
      </w:pPr>
      <w:r>
        <w:rPr>
          <w:lang w:val="el" w:eastAsia="el"/>
        </w:rPr>
        <w:t>3. Του ν. 2956/2001 «Αναδιάρθρωση του ΟΑΕΔ και άλλες διατάξεις», όπως έχει τροποποιηθεί και ισχύει (Α' 258).</w:t>
      </w:r>
    </w:p>
    <w:p>
      <w:pPr>
        <w:pStyle w:val="PreambelText"/>
        <w:spacing w:before="240" w:after="240"/>
        <w:rPr>
          <w:lang w:val="el" w:eastAsia="el"/>
        </w:rPr>
      </w:pPr>
      <w:r>
        <w:rPr>
          <w:lang w:val="el" w:eastAsia="el"/>
        </w:rPr>
        <w:t>4. Του άρθρου 90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Του άρθρου 16 του π.δ. 134/2017 «Οργανισμός Υπουργείου Εργασίας, Κοινωνικής Ασφάλισης και Κοινωνικής Αλληλεγγύης» (Α'168), όπως ισχύει.</w:t>
      </w:r>
    </w:p>
    <w:p>
      <w:pPr>
        <w:pStyle w:val="PreambelText"/>
        <w:spacing w:before="240" w:after="240"/>
        <w:rPr>
          <w:lang w:val="el" w:eastAsia="el"/>
        </w:rPr>
      </w:pPr>
      <w:r>
        <w:rPr>
          <w:lang w:val="el" w:eastAsia="el"/>
        </w:rPr>
        <w:t>6. Του π.δ. 81/2019 «Σύσταση, συγχώνευση μετονομασία…..μεταξύ Υπουργείων» (Α’ 119).</w:t>
      </w:r>
    </w:p>
    <w:p>
      <w:pPr>
        <w:pStyle w:val="PreambelText"/>
        <w:spacing w:before="240" w:after="240"/>
        <w:rPr>
          <w:lang w:val="el" w:eastAsia="el"/>
        </w:rPr>
      </w:pPr>
      <w:r>
        <w:rPr>
          <w:lang w:val="el" w:eastAsia="el"/>
        </w:rPr>
        <w:t>7. Του π.δ. 83/2019 «Διορισμός της Κυβέρνησης, Υπουργών, Αναπληρωτών Υπουργών και Υφυπουργών» (Α’121).</w:t>
      </w:r>
    </w:p>
    <w:p>
      <w:pPr>
        <w:pStyle w:val="PreambelText"/>
        <w:spacing w:before="240" w:after="240"/>
        <w:rPr>
          <w:lang w:val="el" w:eastAsia="el"/>
        </w:rPr>
      </w:pPr>
      <w:r>
        <w:rPr>
          <w:lang w:val="el" w:eastAsia="el"/>
        </w:rPr>
        <w:t>8.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9. Την αριθμ.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10. Τη με αριθμ. πρωτ. 60635/1912/20-1-2020 απόφαση του Υπουργού Εργασίας και Κοινωνικών Υποθέσεων σχετικά με την ανάληψη δαπάνης για το έτος 2021 (ΑΔΑ: 615Φ46ΜΤΛΚ-ΟΞΑ) και τις αποφάσεις ανάληψης υποχρέωσης για το τρέχον έτος με ΑΔΑ: ΨΒΧΡ4691Ω2-1ΣΤ, ΨΩΤΘ4691Ω2-ΘΟ1, 6ΜΔΗ4691Ω2-ΤΡΚ, 6Ι2Γ4691Ω2- 9Φ0, ΩΧΕΑ4691Ω2-Ψ1Φ, ΨΜΦΜ4691Ω2-Ο71, ΩΩΓ- Φ4691Ω2-Ψ9Κ</w:t>
      </w:r>
    </w:p>
    <w:p>
      <w:pPr>
        <w:pStyle w:val="PreambelText"/>
        <w:spacing w:before="240" w:after="240"/>
        <w:rPr>
          <w:lang w:val="el" w:eastAsia="el"/>
        </w:rPr>
      </w:pPr>
      <w:r>
        <w:rPr>
          <w:lang w:val="el" w:eastAsia="el"/>
        </w:rPr>
        <w:t>Το αριθμ. πρωτ. 104219/23-12-2019 έγγραφο του ΟΑΕΔ με το οποίο διαβιβάστηκε η αριθμ. 5877/94/ 17-12-2019 απόφαση του ΔΣ του Οργανισμού.</w:t>
      </w:r>
    </w:p>
    <w:p>
      <w:pPr>
        <w:pStyle w:val="PreambelText"/>
        <w:spacing w:before="240" w:after="240"/>
        <w:rPr>
          <w:lang w:val="el" w:eastAsia="el"/>
        </w:rPr>
      </w:pPr>
      <w:r>
        <w:rPr>
          <w:lang w:val="el" w:eastAsia="el"/>
        </w:rPr>
        <w:t>12. Την αριθμ. 5412/316/31-1-2020 εισήγηση της προϊσταμένης της ΓΔΟΥ του Υπουργείου Εργασίας και Κοινωνικών Υποθέσεων.</w:t>
      </w:r>
    </w:p>
    <w:p>
      <w:pPr>
        <w:pStyle w:val="PreambelText"/>
        <w:spacing w:before="240" w:after="240"/>
        <w:rPr>
          <w:lang w:val="el" w:eastAsia="el"/>
        </w:rPr>
      </w:pPr>
      <w:r>
        <w:rPr>
          <w:lang w:val="el" w:eastAsia="el"/>
        </w:rPr>
        <w:t>13. Το γεγονός ότι από τις διατάξεις αυτής της απόφασης προκαλείται για το έτος 2020 δαπάνη ύψους 4.000.000,00 € και για το έτος 2021 δαπάνη ύψους 6.000.000,00€ κατ’ ανώτατο όριο σε βάρος του προϋπολογισμού του Ενιαίου Λογαριασμού για την Εφαρμογή Κοινωνικών Πολιτικών (ΕΛΕΚΠ) (ΚΑΕ 2639), 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2020-2021,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2020-2021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(άρθρ. 142 του ν. 3655/2008, όπως εξειδικεύτηκε με την υπ’ αριθμ. 33891/606/2008/ΦΕΚ 833-Β’ Υ.Α.),</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Ειδικό Μητρώο Ανέργων ΑμεΑ του ΟΑΕΔ. Κρίσιμος χρόνος συνδρομής της προϋπόθεσης είναι η ημερομηνία λήξης της προθεσμίας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01.01.2020.</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άνω των 18 ετών με οποιαδήποτε αναπηρία σε ποσοστό 67% και άνω,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2020-2021:</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του προγράμματος Κοινωνικού Τουρισμού περιόδου 2019-2020,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Η διάρκεια του προγράμματος ορίζεται σε 12 μήνες. Οι ημερομηνίες έναρξης και λήξης του προγράμματος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πέντε (5) διανυκτερεύσεις εντός του χρονικού διαστήματος της ως άνω παραγράφου, ενώ προσαυξάνεται κατά πέντε (5) επιπλέον διανυκτερεύσεις για τους δικαιούχους - ωφελούμενους που επιλέγουν τουριστικά καταλύματα των νήσων Λέσβου, Χίου, Σάμου, Λέρου και Κω, όπως η Δημόσια Πρόσκληση ορίσει με βάση τις κατηγορίες των καταλυμάτων και την χρονική περίοδο υλοποίησης της σύμβασης της παρ. 2 του άρθρ. 11 της παρούσας.</w:t>
      </w:r>
    </w:p>
    <w:p>
      <w:pPr>
        <w:pStyle w:val="MainText"/>
        <w:spacing w:before="120" w:after="0"/>
        <w:rPr>
          <w:lang w:val="el" w:eastAsia="el"/>
        </w:rPr>
      </w:pPr>
      <w:r>
        <w:rPr>
          <w:b/>
          <w:bCs/>
          <w:lang w:val="el" w:eastAsia="el"/>
        </w:rPr>
        <w:t>3.</w:t>
      </w:r>
      <w:r>
        <w:rPr>
          <w:lang w:val="el" w:eastAsia="el"/>
        </w:rPr>
        <w:t xml:space="preserve"> Ο αριθμός των δικαιούχωνωφελούμενων του προγράμματος καθορίζεται στη Δημόσια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παρόχους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την περιοχή, τον τύπο και την κατηγορία του τουριστικού καταλύματος.</w:t>
      </w:r>
    </w:p>
    <w:p>
      <w:pPr>
        <w:pStyle w:val="MainText"/>
        <w:spacing w:before="120" w:after="0"/>
        <w:rPr>
          <w:lang w:val="el" w:eastAsia="el"/>
        </w:rPr>
      </w:pPr>
      <w:r>
        <w:rPr>
          <w:b/>
          <w:bCs/>
          <w:lang w:val="el" w:eastAsia="el"/>
        </w:rPr>
        <w:t>3.</w:t>
      </w:r>
      <w:r>
        <w:rPr>
          <w:lang w:val="el" w:eastAsia="el"/>
        </w:rPr>
        <w:t xml:space="preserve"> Η «Επιταγή Κοινωνικού Τουρισμού»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των παρ. 7 και 12 του άρθρ.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σύμφωνα με τις ανάγκες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τουριστικά καταλύματα, όπως αυτά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Τα τουριστικά καταλύματα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w:t>
      </w:r>
    </w:p>
    <w:p>
      <w:pPr>
        <w:spacing w:before="240" w:after="240"/>
        <w:rPr>
          <w:lang w:val="el" w:eastAsia="el"/>
        </w:rPr>
      </w:pPr>
      <w:r>
        <w:rPr>
          <w:lang w:val="el" w:eastAsia="el"/>
        </w:rPr>
        <w:t>ΓΙΑ ΤΗΝ ΚΑΤΑΡΤΙΣΗ ΤΩΝ ΜΗΤΡΩΩΝ</w:t>
      </w:r>
    </w:p>
    <w:p>
      <w:pPr>
        <w:spacing w:before="240" w:after="240"/>
        <w:rPr>
          <w:lang w:val="el" w:eastAsia="el"/>
        </w:rPr>
      </w:pPr>
      <w:r>
        <w:rPr>
          <w:lang w:val="el" w:eastAsia="el"/>
        </w:rPr>
        <w:t>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τηρουμένων των διατάξεων των παρ. 9 και 10 του αρ. 34 του ν. 4144/2013: το ακριβές χρονικό διάστημα υλοποίησης του προγράμματος,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Δικαιούχων-Ωφελουμένων και Παρόχων, το ποσό επιδότησης και τα ανώτατα όρια ιδιωτικής συμμετοχής ανά διανυκτέρευση, όπου αυτά προβλέπονται,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στο πρόγραμμα.</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ημέρες εργασίας της παρ. 1 του άρθρ. 2 ή της παρ. 2 του άρθρ. 8 της παρούσας δεν δύναται να αναζητηθούν αυτεπαγγέλτως λόγω μη ένταξής τους στο μηχανογραφικό σύστημα του 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 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5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εισφορές υπέρ της Εργατικής Εστίας σύμφωνα με την περ. α’ της παρ. 1 του άρθρ. 3 του ν. 678/1977, ως ισχύει. Τα μοριοδοτούμενα κριτήρια και ο αριθμός μορίων ανά κριτήριο επιλογής προσδιορίζονται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από την Ανεξάρτητη Αρχή Δημοσίων Εσόδων (ΑΑΔΕ). Οι πληροφορίες σχετικά με τα ανήλικα τέκνα και τους συζύγους αναζητούνται αυτεπαγγέλτως από αρμόδιο δημόσιο φορέα ή όπως η Δημόσια Πρόσκληση ορίσει. Οι πληροφορίες σχετικά με τον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τον ΕΦΚΑ, με την εξαίρεση της παρ.7 του αρθρ.7 της παρούσας.</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 του παρόντος.</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ωφελούμενούς τους του αριθμού που προβλέπεται από τη Δημόσια Πρόσκληση.</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ή μη Επιταγής Κοινωνικού Τουρισμού για τους επιλεγόμενους δικαιούχους και τους ωφελούμενους αυτών που πληρούν τις προϋποθέσεις του άρθρ.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της παρ. 1 του άρθρ. 2, όπως αυτές εξειδικεύονται από τη Δημόσια Πρόσκληση, ή που εντάσσονται στις περιπτώσεις της παρ. 5 του άρθρ. 2 της παρούσας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 2 της παρούσας, δεν θα ληφθούν υπ’ όψιν κατά την κατάρτιση του προσωρινού Μητρώου Δικαιούχων-Ωφελουμένων και του προσωρινού Πίνακα Αποκλειομένων.</w:t>
      </w:r>
    </w:p>
    <w:p>
      <w:pPr>
        <w:pStyle w:val="MainText"/>
        <w:spacing w:before="120" w:after="0"/>
        <w:rPr>
          <w:lang w:val="el" w:eastAsia="el"/>
        </w:rPr>
      </w:pPr>
      <w:r>
        <w:rPr>
          <w:b/>
          <w:bCs/>
          <w:lang w:val="el" w:eastAsia="el"/>
        </w:rPr>
        <w:t>10.</w:t>
      </w:r>
      <w:r>
        <w:rPr>
          <w:lang w:val="el" w:eastAsia="el"/>
        </w:rPr>
        <w:t xml:space="preserve"> Το προσωρινό Μητρώο Δικαιούχων-Ωφελουμένων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α) το Οριστικό Μητρώο Δικαιούχων - Ωφελουμένων, στο οποίο αναγράφονται πλέον των λοιπών στοιχείων του προσωρινού μητρώου της παρ. 7 του παρόντος και οι μοναδικοί ηλεκτρονικοί κωδικοί αριθμοί των Επιταγών Κοινωνικού Τουρισμού και β)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 προσωρινός και οριστικός Πίνακας Αποκλειομένων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Κοινωνικού Τουρισμού περιόδου 2019-2020 υποβάλλουν ηλεκτρονική αίτηση ανανέωσης της συμμετοχής τους στο πρόγραμμα,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με τη Δημόσια Πρόσκληση, συντάσσεται προσωρινός Πίνακας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Παρόχων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καταρτίζεται το Οριστικό Μητρώο Παρόχων και ο οριστικός Πίνακας Αποκλειομένων Παρόχων.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Αποκλειoμένων Παρόχων καταρτίζονται από τον Διοικητή του ΟΑΕΔ ή από το αρμόδιο όργανο που ορίζεται με απόφασή του.</w:t>
      </w:r>
    </w:p>
    <w:p>
      <w:pPr>
        <w:pStyle w:val="MainText"/>
        <w:spacing w:before="120" w:after="0"/>
        <w:rPr>
          <w:lang w:val="el" w:eastAsia="el"/>
        </w:rPr>
      </w:pPr>
      <w:r>
        <w:rPr>
          <w:b/>
          <w:bCs/>
          <w:lang w:val="el" w:eastAsia="el"/>
        </w:rPr>
        <w:t>7.</w:t>
      </w:r>
      <w:r>
        <w:rPr>
          <w:lang w:val="el" w:eastAsia="el"/>
        </w:rPr>
        <w:t xml:space="preserve"> Η διαδικασία κατάρτισης του Μητρώου Παρόχων των παρ. 1 έως 6 του παρόντος ή ένταξης σε αυτό είναι δυνατόν να τροποποιηθεί με Δημόσια Πρόσκληση των παρ. 1 και 4 του άρθρ. 6 της παρούσας.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ΣΥΜΒΑΣΗ ΔΙΚΑΙΟΥΧΩΝ - ΠΑΡΟΧΩΝ, ΟΙΚΟΝΟΜΙΚΗ</w:t>
      </w:r>
    </w:p>
    <w:p>
      <w:pPr>
        <w:spacing w:before="240" w:after="240"/>
        <w:rPr>
          <w:lang w:val="el" w:eastAsia="el"/>
        </w:rPr>
      </w:pPr>
      <w:r>
        <w:rPr>
          <w:lang w:val="el" w:eastAsia="el"/>
        </w:rPr>
        <w:t>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άρθρ. 4 της παρούσας και προσδιορίζεται με τη Δημόσια Πρόσκληση, ως αντάλλαγμα μέρους ή του συνόλου των παρεχομένων υπηρεσιών διαμονής.</w:t>
      </w:r>
    </w:p>
    <w:p>
      <w:pPr>
        <w:pStyle w:val="MainText"/>
        <w:spacing w:before="120" w:after="0"/>
        <w:rPr>
          <w:lang w:val="el" w:eastAsia="el"/>
        </w:rPr>
      </w:pPr>
      <w:r>
        <w:rPr>
          <w:b/>
          <w:bCs/>
          <w:lang w:val="el" w:eastAsia="el"/>
        </w:rPr>
        <w:t>4.</w:t>
      </w:r>
      <w:r>
        <w:rPr>
          <w:lang w:val="el" w:eastAsia="el"/>
        </w:rPr>
        <w:t xml:space="preserve"> Για τη διαμονή στα καταλύματα καταβάλλεται από τους δικαιούχους και ιδιωτική οικονομική συμμετοχή, το ύψος της οποίας καθορίζεται στη σύμβαση της παρ. 2 του παρόντος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και Κω η ιδιωτική συμμετοχή είναι μηδενική.</w:t>
      </w:r>
    </w:p>
    <w:p>
      <w:pPr>
        <w:pStyle w:val="MainText"/>
        <w:spacing w:before="120" w:after="0"/>
        <w:rPr>
          <w:lang w:val="el" w:eastAsia="el"/>
        </w:rPr>
      </w:pPr>
      <w:r>
        <w:rPr>
          <w:b/>
          <w:bCs/>
          <w:lang w:val="el" w:eastAsia="el"/>
        </w:rPr>
        <w:t>5.</w:t>
      </w:r>
      <w:r>
        <w:rPr>
          <w:lang w:val="el" w:eastAsia="el"/>
        </w:rPr>
        <w:t xml:space="preserve"> Φόροι που βαρύνουν τους διαμένοντες στα τουριστικά καταλύματα δικαιούχους ή ωφελούμενους δεν καλύπτονται από το πρόγραμμα.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από την πρώτη του μηνός που έπεται του μήνα λήξης των συμβάσεων της παρ. 2 του άρθρ. 11 της παρούσας και οπωσδήποτε εντός τριών μηνών από την ημερομηνία λήξης υλοποίησης του προγράμματος.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60 ημερών από την ημερομηνία υποβολής της σχετικής αιτήσεως.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ΤΟΥ ΠΡΟΓΡΑΜΜΑΤΟΣ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Φεβρουαρίου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Υφυπουργός Οικονομικών και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