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ΘΕΜΑ:</w:t>
      </w:r>
      <w:r>
        <w:rPr>
          <w:b/>
          <w:bCs/>
          <w:lang w:val="el" w:eastAsia="el"/>
        </w:rPr>
        <w:t>«Τροποποίηση της αριθμ. Α.1203/16-5-2019 (B’ 1933/29.05.2019) Απόφασης της ΑΑΔΕ σχετικά με τα δικαιολογητικά και τις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p>
    <w:p>
      <w:pPr>
        <w:pStyle w:val="enacting"/>
        <w:spacing w:before="120" w:after="0"/>
        <w:rPr>
          <w:lang w:val="el" w:eastAsia="el"/>
        </w:rPr>
      </w:pPr>
      <w:r>
        <w:rPr>
          <w:b/>
          <w:bCs/>
          <w:lang w:val="el" w:eastAsia="el"/>
        </w:rPr>
        <w:t>Α Π Ο Φ Α Σ 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πρώτου εδαφίου της παραγράφου 4 του άρθρου 126 του ν. 2960/2001 (Α΄ 265) «Εθνικός Τελωνειακός Κώδικας» και της παραγράφου 10 του άρθρου 123 του ν. 2960/2001, όπως τροποποιήθηκε και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(Α΄94) και ειδικότερα του άρθρου 7, της παραγράφου 1 του άρθρου 14 και του άρθρου 41 αυτού.</w:t>
      </w:r>
    </w:p>
    <w:p>
      <w:pPr>
        <w:pStyle w:val="PreambelText"/>
        <w:spacing w:before="240" w:after="240"/>
        <w:rPr>
          <w:lang w:val="el" w:eastAsia="el"/>
        </w:rPr>
      </w:pPr>
      <w:r>
        <w:rPr>
          <w:b/>
          <w:bCs/>
          <w:lang w:val="el" w:eastAsia="el"/>
        </w:rPr>
        <w:t>2. Την αριθμ. Δ.ΟΡΓ.Α 1036960ΕΞ2017/10.03.2017 (Β΄ 968),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3. Την αριθμ.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pStyle w:val="PreambelText"/>
        <w:spacing w:before="240" w:after="240"/>
        <w:rPr>
          <w:lang w:val="el" w:eastAsia="el"/>
        </w:rPr>
      </w:pPr>
      <w:r>
        <w:rPr>
          <w:b/>
          <w:bCs/>
          <w:lang w:val="el" w:eastAsia="el"/>
        </w:rPr>
        <w:t>4.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τις υπ΄ αριθμ. 39/3/30.11.2017 Απόφαση του Συμβουλίου Διοίκησης της Α.Α.Δ.Ε. (Υ.Ο.Δ.Δ. 689/20.12.2017) «Ανανέωση θητείας του Διοικητή της Ανεξάρτητης Αρχής Δημοσίων Εσόδων» και υπ΄ αριθμ. 5294 ΕΞ 2020/17.01.2020 (Υ.Ο.Δ.Δ. 27/17.01.2020) Απόφαση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5. Την αριθμ. Δ19Α 5041533 ΕΞ 2013/2-12-2013 (ΦΕΚ Β΄ 3051/2-12-2013) ΑΥΟ «Καθιέρωση πληροφορικού συστήματος ICIS.net και ηλεκτρονικών συναλλαγών, σε πλήρη εφαρμογή».</w:t>
      </w:r>
    </w:p>
    <w:p>
      <w:pPr>
        <w:pStyle w:val="PreambelText"/>
        <w:spacing w:before="240" w:after="240"/>
        <w:rPr>
          <w:lang w:val="el" w:eastAsia="el"/>
        </w:rPr>
      </w:pPr>
      <w:r>
        <w:rPr>
          <w:b/>
          <w:bCs/>
          <w:lang w:val="el" w:eastAsia="el"/>
        </w:rPr>
        <w:t>6. Την αριθμ. ΔΕΦΚ 5041345 ΕΞ 2013/28-11-2013 ΕΔΥΟ «Οδηγίες για τη λειτουργία του υποσυστήματος ΕΙΔΙΚΩΝ ΦΟΡΩΝ ΚΑΤΑΝΑΛΩΣΗΣ στο ICIS.net».</w:t>
      </w:r>
    </w:p>
    <w:p>
      <w:pPr>
        <w:pStyle w:val="PreambelText"/>
        <w:spacing w:before="240" w:after="240"/>
        <w:rPr>
          <w:lang w:val="el" w:eastAsia="el"/>
        </w:rPr>
      </w:pPr>
      <w:r>
        <w:rPr>
          <w:b/>
          <w:bCs/>
          <w:lang w:val="el" w:eastAsia="el"/>
        </w:rPr>
        <w:t>7. Την ΔΤΔ Α 1184721 ΕΞ 2016/16-12-2016 (ΦΕΚ Β΄ 4488/30-12-2016) απόφαση Γενικού Γραμματέα Δημοσίων Εσόδων «Υποχρεωτική ηλεκτρονική υποβολή των υποστηρικτικών της διασάφησης εισαγωγής εγγράφων Τήρηση αρχείου».</w:t>
      </w:r>
    </w:p>
    <w:p>
      <w:pPr>
        <w:pStyle w:val="PreambelText"/>
        <w:spacing w:before="240" w:after="240"/>
        <w:rPr>
          <w:lang w:val="el" w:eastAsia="el"/>
        </w:rPr>
      </w:pPr>
      <w:r>
        <w:rPr>
          <w:b/>
          <w:bCs/>
          <w:lang w:val="el" w:eastAsia="el"/>
        </w:rPr>
        <w:t>8. Την ανάγκη χορήγησης ενός εύλογου χρονικού διαστήματος για την προμήθεια του αναγκαίου εξοπλισμού από τις τελωνειακές αρχές για την αποτελεσματική ανταπόκρισή τους στις απαιτήσεις της αρ.Α.1203/16-5-2019 Απόφασης ΑΑΔΕ.</w:t>
      </w:r>
    </w:p>
    <w:p>
      <w:pPr>
        <w:pStyle w:val="PreambelText"/>
        <w:spacing w:before="240" w:after="240"/>
        <w:rPr>
          <w:lang w:val="el" w:eastAsia="el"/>
        </w:rPr>
      </w:pPr>
      <w:r>
        <w:rPr>
          <w:b/>
          <w:bCs/>
          <w:lang w:val="el" w:eastAsia="el"/>
        </w:rPr>
        <w:t>9. 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Στην παράγραφο 2 του άρθρου 15 της αριθμ. Α.1203/16-5-2019 (B’ 1933/29.05.2019) Απόφασης της</w:t>
      </w:r>
    </w:p>
    <w:p>
      <w:pPr>
        <w:spacing w:before="240" w:after="240"/>
        <w:rPr>
          <w:lang w:val="el" w:eastAsia="el"/>
        </w:rPr>
      </w:pPr>
      <w:r>
        <w:rPr>
          <w:b/>
          <w:bCs/>
          <w:lang w:val="el" w:eastAsia="el"/>
        </w:rPr>
        <w:t>ΑΑΔΕ, προστίθεται δεύτερο εδάφιο ως ακολούθως:</w:t>
      </w:r>
    </w:p>
    <w:p>
      <w:pPr>
        <w:spacing w:before="240" w:after="240"/>
        <w:rPr>
          <w:lang w:val="el" w:eastAsia="el"/>
        </w:rPr>
      </w:pPr>
      <w:r>
        <w:rPr>
          <w:b/>
          <w:bCs/>
          <w:lang w:val="el" w:eastAsia="el"/>
        </w:rPr>
        <w:t>«Μέχρι την ανωτέρω ημερομηνία, η προβλεπόμενη διαδικασία ανάκτησης των παραστατικών από τις αρμόδιες τελωνειακές περιφέρειες μέσω του Πληροφοριακού Συστήματος Τελωνείων ICISnet για τον προσδιορισμό/καθορισμό της αξίας, όπως αυτή ορίζεται στις διατάξεις της παραγράφου 4 του άρθρου 6, του στοιχείου β της παραγράφου 2 και του στοιχείου β της παραγράφου 4 του άρθρου 8, δεν είναι υποχρεωτική για τα τελωνεία του νομού Αττικής τα οποία δύνανται να αποστέλλουν τα παραστατικά μετά των συνημμένων δικαιολογητικών εγγράφων στην αρμόδια Τελωνειακή Περιφέρεια για τον προσδιορισμό της φορολογητέας αξίας με κάθε πρόσφορο κατά την κρίση τους μέσο».</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ΔΙΟΚΗΤΗΣ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lang w:val="el" w:eastAsia="el"/>
        </w:rPr>
        <w:t xml:space="preserve">Α. </w:t>
      </w:r>
      <w:r>
        <w:rPr>
          <w:b/>
          <w:bCs/>
          <w:u w:val="single"/>
          <w:lang w:val="el" w:eastAsia="el"/>
        </w:rPr>
        <w:t>Αποδέκτες για ενέργεια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Εσωτερική Διανομή:</w:t>
      </w:r>
    </w:p>
    <w:p>
      <w:pPr>
        <w:pStyle w:val="MainText"/>
        <w:spacing w:before="120" w:after="0"/>
        <w:rPr>
          <w:lang w:val="el" w:eastAsia="el"/>
        </w:rPr>
      </w:pPr>
      <w:r>
        <w:rPr>
          <w:b/>
          <w:bCs/>
          <w:lang w:val="el" w:eastAsia="el"/>
        </w:rPr>
        <w:t>1.</w:t>
      </w:r>
      <w:r>
        <w:rPr>
          <w:b/>
          <w:bCs/>
          <w:lang w:val="el" w:eastAsia="el"/>
        </w:rPr>
        <w:t xml:space="preserve"> Γραφείο Διοικητή Α.Α.Δ.Ε.</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4.</w:t>
      </w:r>
      <w:r>
        <w:rPr>
          <w:b/>
          <w:bCs/>
          <w:lang w:val="el" w:eastAsia="el"/>
        </w:rPr>
        <w:t xml:space="preserve"> Δ/νση Ε.Φ.Κ. και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