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PreambelText"/>
        <w:spacing w:before="240" w:after="240"/>
        <w:rPr>
          <w:lang w:val="el" w:eastAsia="el"/>
        </w:rPr>
      </w:pPr>
      <w:r>
        <w:rPr>
          <w:b/>
          <w:bCs/>
          <w:lang w:val="el" w:eastAsia="el"/>
        </w:rPr>
        <w:t>ΥΦΥΠΟΥΡΓΟΥ</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2 </w:t>
      </w:r>
      <w:r>
        <w:rPr>
          <w:b/>
          <w:bCs/>
          <w:lang w:val="el" w:eastAsia="el"/>
        </w:rPr>
        <w:t>.ΔΙΕΥΘΥΝΣΗ ΕΦΑΡΜΟΓΗΣ ΦΟΡΟΛΟΓΙΑΣ</w:t>
      </w:r>
    </w:p>
    <w:p>
      <w:pPr>
        <w:spacing w:before="240" w:after="240"/>
        <w:rPr>
          <w:lang w:val="el" w:eastAsia="el"/>
        </w:rPr>
      </w:pPr>
      <w:r>
        <w:rPr>
          <w:b/>
          <w:bCs/>
          <w:lang w:val="el" w:eastAsia="el"/>
        </w:rPr>
        <w:t>ΚΕΦΑΛΑΙΟΥ ΚΑΙ ΠΕΡΙΟΥΣΙΟΛΟΓΙΟΥ</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10 10184 Αθήνα 2132122400</w:t>
      </w:r>
    </w:p>
    <w:p>
      <w:pPr>
        <w:spacing w:before="240" w:after="240"/>
        <w:rPr>
          <w:lang w:val="el" w:eastAsia="el"/>
        </w:rPr>
      </w:pPr>
      <w:r>
        <w:rPr>
          <w:lang w:val="el" w:eastAsia="el"/>
        </w:rPr>
        <w:t xml:space="preserve">2103645413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του χρόνου υποβολής δηλώσεων φόρου συγκέντρωσης κεφαλαίου, τελών χαρτοσήμου, περιβαλλοντικού τέλους πλαστικής σακούλας, φόρου διαμονής και δηλώσεων φόρου κληρονομιών, δωρεών, γονικών παροχών και κερδών από τυχερά παίγνια με καταληκτική ημερομηνία υποβολής εντός των μηνών Μαρτίου και Απριλίου 2020.»</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της παραγράφου 5 του άρθρου 22 του ν. 2020/1992 (ΦΕΚ 34 Α΄), όπως ισχύει, 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lang w:val="el" w:eastAsia="el"/>
        </w:rPr>
        <w:t>2. Τις διατάξεις του ν.δ. 356/74 (ΦΕΚ 90 Α΄ – Κ.Ε.Δ.Ε.), όπως ισχύουν.</w:t>
      </w:r>
    </w:p>
    <w:p>
      <w:pPr>
        <w:spacing w:before="240" w:after="240"/>
        <w:rPr>
          <w:lang w:val="el" w:eastAsia="el"/>
        </w:rPr>
      </w:pPr>
      <w:r>
        <w:rPr>
          <w:lang w:val="el" w:eastAsia="el"/>
        </w:rPr>
        <w:t>3. Τις διατάξεις του ν. 4174/2013 (ΦΕΚ 170 Α΄-Κ.Φ.Δ.), όπως ισχύουν.</w:t>
      </w:r>
    </w:p>
    <w:p>
      <w:pPr>
        <w:spacing w:before="240" w:after="240"/>
        <w:rPr>
          <w:lang w:val="el" w:eastAsia="el"/>
        </w:rPr>
      </w:pPr>
      <w:r>
        <w:rPr>
          <w:lang w:val="el" w:eastAsia="el"/>
        </w:rPr>
        <w:t>4. Το π.δ. 142/2017 (Α΄ 181) «Οργανισμός του Υπουργείου Οικονομικών», όπως τροποποιήθηκε και ισχύει.</w:t>
      </w:r>
    </w:p>
    <w:p>
      <w:pPr>
        <w:spacing w:before="240" w:after="240"/>
        <w:rPr>
          <w:lang w:val="el" w:eastAsia="el"/>
        </w:rPr>
      </w:pPr>
      <w:r>
        <w:rPr>
          <w:lang w:val="el" w:eastAsia="el"/>
        </w:rPr>
        <w:t>5. Το π.δ. 83/2019 (Α΄ 121) «Διορισμός Αντιπροέδρου Κυβέρνησης, Υπουργών, Αναπληρωτών Υπουργών και Υφυπουργών».</w:t>
      </w:r>
    </w:p>
    <w:p>
      <w:pPr>
        <w:spacing w:before="240" w:after="240"/>
        <w:rPr>
          <w:lang w:val="el" w:eastAsia="el"/>
        </w:rPr>
      </w:pPr>
      <w:r>
        <w:rPr>
          <w:lang w:val="el" w:eastAsia="el"/>
        </w:rPr>
        <w:t>6.Την Υ2/2019 (Β΄2901) απόφαση του Πρωθυπουργού «Σύσταση θέσεων Αναπληρωτή Υπουργού και Υφυπουργών».</w:t>
      </w:r>
    </w:p>
    <w:p>
      <w:pPr>
        <w:spacing w:before="240" w:after="240"/>
        <w:rPr>
          <w:lang w:val="el" w:eastAsia="el"/>
        </w:rPr>
      </w:pPr>
      <w:r>
        <w:rPr>
          <w:lang w:val="el" w:eastAsia="el"/>
        </w:rPr>
        <w:t>7.Την 339/2019 (Β΄3051) απόφαση του Πρωθυπουργού και του Υπουργού Οικονομικών περί Ανάθεσης αρμοδιοτήτων στον Υφυπουργό Οικονομικών Απόστολο Βεσυρόπουλο.</w:t>
      </w:r>
    </w:p>
    <w:p>
      <w:pPr>
        <w:spacing w:before="240" w:after="240"/>
        <w:rPr>
          <w:lang w:val="el" w:eastAsia="el"/>
        </w:rPr>
      </w:pPr>
      <w:r>
        <w:rPr>
          <w:lang w:val="el" w:eastAsia="el"/>
        </w:rPr>
        <w:t>8.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αριθ.και την αριθ. 5294/ΕΞ 2020 (Υ.Ο.Δ.Δ. 27/17.1.2020)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9. Τις διατάξεις του π.δ. 28</w:t>
      </w:r>
      <w:r>
        <w:rPr>
          <w:sz w:val="30"/>
          <w:szCs w:val="30"/>
          <w:vertAlign w:val="superscript"/>
          <w:lang w:val="el" w:eastAsia="el"/>
        </w:rPr>
        <w:t>ης</w:t>
      </w:r>
      <w:r>
        <w:rPr>
          <w:lang w:val="el" w:eastAsia="el"/>
        </w:rPr>
        <w:t xml:space="preserve"> Ιουλίου 1931, του ν.1676/1986,του άρθρου 6Α του ν. 2939/2001 (Α΄179) όπως ισχύει, του άρθρου 53 του ν. 4389/2016(Α΄94).</w:t>
      </w:r>
    </w:p>
    <w:p>
      <w:pPr>
        <w:spacing w:before="240" w:after="240"/>
        <w:rPr>
          <w:lang w:val="el" w:eastAsia="el"/>
        </w:rPr>
      </w:pPr>
      <w:r>
        <w:rPr>
          <w:lang w:val="el" w:eastAsia="el"/>
        </w:rPr>
        <w:t>10. Την ανάγκη εξυπηρέτησης και διευκόλυνσης των υπόχρεων σε υποβολή δηλώσεων φόρου συγκέντρωσης κεφαλαίου, τελών χαρτοσήμου, περιβαλλοντικού τέλους, φόρου διαμονής και δηλώσεων φόρου κληρονομιών, δωρεών, γονικών παροχών και κερδών από τυχερά παίγνια με καταληκτική ημερομηνία υποβολής εντός των μηνών Μαρτίου και Απριλίου2020, λόγω των κατεπειγόντων μέτρων που λαμβάνονται για την αντιμετώπιση της ανάγκης περιορισμού της διασποράς του κορωνοϊού COVID-19.</w:t>
      </w:r>
    </w:p>
    <w:p>
      <w:pPr>
        <w:spacing w:before="240" w:after="240"/>
        <w:rPr>
          <w:lang w:val="el" w:eastAsia="el"/>
        </w:rPr>
      </w:pPr>
      <w:r>
        <w:rPr>
          <w:lang w:val="el" w:eastAsia="el"/>
        </w:rPr>
        <w:t>11.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για δύο μήνες από τη λήξη τους, κατά περίπτωση, οι προθεσμίες υποβολής των δηλώσεων φόρου συγκέντρωσης κεφαλαίου και τελών χαρτοσήμου με καταληκτική ημερομηνία εντός των μηνών Μαρτίου και Απριλίου 2020. Οι δηλώσεις τελών χαρτοσήμου που αποδίδονται ηλεκτρονικά με τον παρακρατούμενο φόρο εισοδήματος και αποτελούν παρακολούθημα του φόρου αυτού αποδίδονται κατά τον χρόνο απόδοσης του παρακρατούμενου φόρου.</w:t>
      </w:r>
    </w:p>
    <w:p>
      <w:pPr>
        <w:spacing w:before="240" w:after="240"/>
        <w:rPr>
          <w:lang w:val="el" w:eastAsia="el"/>
        </w:rPr>
      </w:pPr>
      <w:r>
        <w:rPr>
          <w:lang w:val="el" w:eastAsia="el"/>
        </w:rPr>
        <w:t>2. Παρατείνεται μέχρι και την 30/6/2020 η προθεσμία υποβολής των δηλώσεων περιβαλλοντικού τέλους πλαστικής σακούλας με καταληκτική ημερομηνία την 30/4/2020 που αφορούν στο α’ τρίμηνο του 2020.</w:t>
      </w:r>
    </w:p>
    <w:p>
      <w:pPr>
        <w:spacing w:before="240" w:after="240"/>
        <w:rPr>
          <w:lang w:val="el" w:eastAsia="el"/>
        </w:rPr>
      </w:pPr>
      <w:r>
        <w:rPr>
          <w:lang w:val="el" w:eastAsia="el"/>
        </w:rPr>
        <w:t xml:space="preserve">3. Παρατείνεται μέχρι και την 29/5/2020 η προθεσμία υποβολής δηλώσεων φόρου διαμονής με καταληκτική ημερομηνία την 31/3/2020, που αφορούν τα ειδικά στοιχεία που εκδόθηκαν εντός Φεβρουαρίου 2020. Παρατείνεται μέχρι και την 30/6/2020 </w:t>
      </w:r>
    </w:p>
    <w:p>
      <w:pPr>
        <w:spacing w:before="240" w:after="240"/>
        <w:rPr>
          <w:lang w:val="el" w:eastAsia="el"/>
        </w:rPr>
      </w:pPr>
      <w:r>
        <w:rPr>
          <w:lang w:val="el" w:eastAsia="el"/>
        </w:rPr>
        <w:t>η προθεσμία υποβολής των δηλώσεων φόρουδιαμονής με καταληκτική ημερομηνία την 30/4/2020, που αφορούν τα ειδικά στοιχεία που εκδόθηκαν εντός Μαρτίου 2020.</w:t>
      </w:r>
    </w:p>
    <w:p>
      <w:pPr>
        <w:spacing w:before="240" w:after="240"/>
        <w:rPr>
          <w:lang w:val="el" w:eastAsia="el"/>
        </w:rPr>
      </w:pPr>
      <w:r>
        <w:rPr>
          <w:lang w:val="el" w:eastAsia="el"/>
        </w:rPr>
        <w:t>4. Παρατείνεται μέχρι και την 29/5/2020 η προθεσμία υποβολής των δηλώσεων φόρου κληρονομιών και κερδών από τυχερά παίγνια, που λήγει εντός των μηνών Μαρτίου και Απριλίου. Το αυτό ισχύει και για τις δηλώσεις φόρου δωρεών και γονικών παροχών, για τις οποίες δεν συντάσσεται συμβολαιογραφικό έγγραφο. Για δηλώσεις των φορολογιών κεφαλαίου που υποβάλλονται κατά το χρονικό αυτό διάστημα δεν διενεργείται κατά την παραλαβή οποιοσδήποτε έλεγχος, ο οποίος θα διενεργηθεί σε μεταγενέστερο χρόνο.</w:t>
      </w:r>
    </w:p>
    <w:p>
      <w:pPr>
        <w:spacing w:before="240" w:after="240"/>
        <w:rPr>
          <w:lang w:val="el" w:eastAsia="el"/>
        </w:rPr>
      </w:pPr>
      <w:r>
        <w:rPr>
          <w:lang w:val="el" w:eastAsia="el"/>
        </w:rPr>
        <w:t>5. Η παρούσα απόφαση ισχύει από τον χρόνο υπογραφής της.</w:t>
      </w:r>
    </w:p>
    <w:p>
      <w:pPr>
        <w:spacing w:before="240" w:after="240"/>
        <w:rPr>
          <w:lang w:val="el" w:eastAsia="el"/>
        </w:rPr>
      </w:pPr>
      <w:r>
        <w:rPr>
          <w:lang w:val="el" w:eastAsia="el"/>
        </w:rPr>
        <w:t>6. Η παρούσα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του αριθ. 2.</w:t>
      </w:r>
    </w:p>
    <w:p>
      <w:pPr>
        <w:spacing w:before="240" w:after="240"/>
        <w:rPr>
          <w:lang w:val="el" w:eastAsia="el"/>
        </w:rPr>
      </w:pPr>
      <w:r>
        <w:rPr>
          <w:lang w:val="el" w:eastAsia="el"/>
        </w:rPr>
        <w:t>2.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lang w:val="el" w:eastAsia="el"/>
        </w:rPr>
        <w:t>3. Εθνικό Τυπογραφείο για δημοσίευση στο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880"/>
        <w:gridCol w:w="681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Υπουργού Οικονομικών κ. Χ. Σταϊκούρα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Υφυπουργού Οικονομικών κ. Α. Βεσυρόπουλου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Γενικής Γραμματέως Φορολογικής Πολιτικής και Δημόσιας Περιουσίας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β΄ (με την υποχρέωση του υπουργείου 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 ενημερώσει όλους τους φορείς αρμοδιότητας του) και ζ΄, 5 περ. α΄,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1"/>
        <w:gridCol w:w="435"/>
        <w:gridCol w:w="435"/>
        <w:gridCol w:w="8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Διεύθυνση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