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6Ν2446ΜΠ3Ζ-1ΨΥ</w:t>
      </w:r>
    </w:p>
    <w:p>
      <w:pPr>
        <w:spacing w:before="240" w:after="240"/>
        <w:rPr>
          <w:lang w:val="el" w:eastAsia="el"/>
        </w:rPr>
      </w:pPr>
      <w:r>
        <w:rPr>
          <w:b/>
          <w:bCs/>
          <w:lang w:val="el" w:eastAsia="el"/>
        </w:rPr>
        <w:t>Αριθ. ΦΕΚ:Β΄1159 /03/04/2020 - 00:00</w:t>
      </w:r>
    </w:p>
    <w:p>
      <w:pPr>
        <w:spacing w:before="240" w:after="240"/>
        <w:rPr>
          <w:lang w:val="el" w:eastAsia="el"/>
        </w:rPr>
      </w:pPr>
      <w:r>
        <w:rPr>
          <w:b/>
          <w:bCs/>
          <w:lang w:val="el" w:eastAsia="el"/>
        </w:rPr>
        <w:t>Αθήνα, 02 Απριλίου 2020</w:t>
      </w:r>
    </w:p>
    <w:p>
      <w:pPr>
        <w:spacing w:before="240" w:after="240"/>
        <w:rPr>
          <w:lang w:val="el" w:eastAsia="el"/>
        </w:rPr>
      </w:pPr>
      <w:r>
        <w:rPr>
          <w:b/>
          <w:bCs/>
          <w:lang w:val="el" w:eastAsia="el"/>
        </w:rPr>
        <w:t>Α.1074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w:t>
      </w:r>
      <w:r>
        <w:rPr>
          <w:lang w:val="el" w:eastAsia="el"/>
        </w:rPr>
        <w:t>Καθορισμός των λεπτομερειών εφαρμογής του άρθρου 2 της από 11.03.2020 ΠΝΠ (ΦΕΚ 55 Α΄), όπως τροποποιήθηκε και ισχύει, με την οποία λαμβάνονται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τροποποιήθηκαν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12997/231/23.03.2020 (ΦΕΚ 993 Β’)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μετά την τροποποίησή του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 οφειλών, που λήγουν ή έληξαν από 01/04/2020 έως και την 30/04/2020 των φυσικών προσώπων που εκμισθώνουν ακίνητα στις επιχειρήσεις, οι οποίες έχουν ενεργό, κύριο κωδικό δραστηριότητας στις 20/03/2020 τους αναφερόμενους στο συνημμένο πίνακα ή των οποίων τα ακαθάριστα έσοδα ενεργού κατά την 20/03/2020 ΚΑΔ δευτερεύουσας δραστηριότητας από τους αναγραφόμενους στον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01/04/2020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τα φυσικά πρόσωπα που εκμισθώνουν ακίνητα στα εξής πρόσωπα: α) φορείς της Γενικής Κυβέρνησης, όπως ορίζονται στην παράγραφο 1 του άρθρου 14 Ν. 4270/2014, β) τα εκτός αυτής νομικά πρόσωπα δημοσίου δικαίου (Ν.Π.Δ.Δ.), γ)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δεν καταργεί την υπ’ αριθμ. Α.1061/26.03.2020 (Β΄1043) απόφαση.</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w:t>
            </w:r>
          </w:p>
          <w:p>
            <w:pPr>
              <w:spacing w:before="240"/>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w:t>
            </w:r>
          </w:p>
          <w:p>
            <w:pPr>
              <w:spacing w:before="240"/>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w:t>
            </w:r>
          </w:p>
          <w:p>
            <w:pPr>
              <w:spacing w:before="240"/>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w:t>
            </w:r>
          </w:p>
          <w:p>
            <w:pPr>
              <w:spacing w:before="240"/>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ακατέργαστων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κατεργασμένων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w:t>
            </w:r>
          </w:p>
          <w:p>
            <w:pPr>
              <w:spacing w:before="240"/>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ξηρών καρπών, καβουρδισμένων αράπικων φιστικιών, αλατισμένων ή με άλλο τρόπο συντηρημένων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46.33.13. 05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46.77.10.</w:t>
            </w:r>
          </w:p>
          <w:p>
            <w:pPr>
              <w:spacing w:before="240"/>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απορριμμάτων και φυτικών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 εκτός από Υπηρεσίες οικονομικού ελέγχου (69.20.1 )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