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59679/2020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Υπαγωγή των Περιφερειακών Υπηρεσιών Συντονισμού και Υποστήριξης (Π.Υ.Σ.Υ.) του Ηλεκτρονικού Εθνικού Φορέα Κοινωνικής Ασφάλισης (e Ε.Φ.Κ.Α.) στην έννοια της «χωριστής επιχειρησιακής μονάδας ανεξαρτήτως υπεύθυνης για τη σύναψη συμβάσεων της ίδιας ή ορισμένων κατηγοριών αυτών» του άρθρου 6 παρ. 2, εδαφ. β’ του ν. 4412/2016.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Σχόλια:</w:t>
      </w:r>
      <w:r>
        <w:rPr>
          <w:i/>
          <w:iCs/>
          <w:lang w:val="el" w:eastAsia="el"/>
        </w:rPr>
        <w:t xml:space="preserve"> Όπως τροποποιήθηκε με την </w:t>
      </w:r>
      <w:r>
        <w:rPr>
          <w:rStyle w:val="link"/>
          <w:i/>
          <w:iCs/>
          <w:lang w:val="el" w:eastAsia="el"/>
        </w:rPr>
        <w:t>63504/17-03-2020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92497/20-</w:t>
      </w:r>
      <w:r>
        <w:rPr>
          <w:rStyle w:val="link"/>
          <w:i/>
          <w:iCs/>
          <w:lang w:val="el" w:eastAsia="el"/>
        </w:rPr>
        <w:t>0</w:t>
      </w:r>
      <w:r>
        <w:rPr>
          <w:rStyle w:val="link"/>
          <w:i/>
          <w:iCs/>
          <w:lang w:val="el" w:eastAsia="el"/>
        </w:rPr>
        <w:t>5-2020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233157/29-09-2020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316376/30.11.2020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339747/18.12.2020</w:t>
      </w:r>
      <w:r>
        <w:rPr>
          <w:i/>
          <w:iCs/>
          <w:lang w:val="el" w:eastAsia="el"/>
        </w:rPr>
        <w:t>, την </w:t>
      </w:r>
      <w:r>
        <w:rPr>
          <w:rStyle w:val="link"/>
          <w:i/>
          <w:iCs/>
          <w:lang w:val="el" w:eastAsia="el"/>
        </w:rPr>
        <w:t>95149/17-03-2021</w:t>
      </w:r>
      <w:r>
        <w:rPr>
          <w:i/>
          <w:iCs/>
          <w:lang w:val="el" w:eastAsia="el"/>
        </w:rPr>
        <w:t xml:space="preserve">, την 97244/01-03-2022, την </w:t>
      </w:r>
      <w:r>
        <w:rPr>
          <w:rStyle w:val="link"/>
          <w:i/>
          <w:iCs/>
          <w:lang w:val="el" w:eastAsia="el"/>
        </w:rPr>
        <w:t>236645/20.05.2022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435882/15.09.2023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1040500/23.07.2024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1460146/18-10-2024</w:t>
      </w:r>
      <w:r>
        <w:rPr>
          <w:i/>
          <w:iCs/>
          <w:lang w:val="el" w:eastAsia="el"/>
        </w:rPr>
        <w:t xml:space="preserve">, την </w:t>
      </w:r>
      <w:r>
        <w:rPr>
          <w:rStyle w:val="link"/>
          <w:i/>
          <w:iCs/>
          <w:lang w:val="el" w:eastAsia="el"/>
        </w:rPr>
        <w:t>1161840/7-8-2025</w:t>
      </w:r>
      <w:r>
        <w:rPr>
          <w:i/>
          <w:iCs/>
          <w:lang w:val="el" w:eastAsia="el"/>
        </w:rPr>
        <w:t xml:space="preserve"> και την </w:t>
      </w:r>
      <w:r>
        <w:rPr>
          <w:rStyle w:val="link"/>
          <w:i/>
          <w:iCs/>
          <w:lang w:val="el" w:eastAsia="el"/>
        </w:rPr>
        <w:t>1256596/28-8-2025</w:t>
      </w:r>
      <w:r>
        <w:rPr>
          <w:i/>
          <w:i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 Μάρτιος 2020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Taxheaven.gr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Αριθμ. 59679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831/12-03-2020)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ΔΙΟΙΚΗΤΗΣ ΤΟΥ ΗΛΕΚΤΡΟΝΙΚΟΥ ΕΘΝΙΚΟΥ ΦΟΡΕΑ ΚΟΙΝΩΝΙΚΗΣ ΑΣΦΑΛΙΣΗΣ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ν. </w:t>
      </w:r>
      <w:r>
        <w:rPr>
          <w:rStyle w:val="link"/>
          <w:lang w:val="el" w:eastAsia="el"/>
        </w:rPr>
        <w:t>4387/2016</w:t>
      </w:r>
      <w:r>
        <w:rPr>
          <w:lang w:val="el" w:eastAsia="el"/>
        </w:rPr>
        <w:t xml:space="preserve"> (ΦΕΚ 85/Α’) «Ενιαίο Σύστημα Κοινωνικής Ασφάλειας Μεταρρύθμιση ασφαλιστικού -συνταξιοδοτικού συστήματος Ρυθμίσεις φορολογίας εισοδήματος και τυχερών παιγνίων και άλλες διατάξεις», όπως τροποποιήθηκε και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π.δ. 8/2019 (ΦΕΚ 8 Α’) «Οργανισμός Ενιαίου Φορέα Κοινωνικής Ασφάλισης (Ε.Φ.Κ.Α.)», όπως τροποποιήθηκε και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ν. </w:t>
      </w:r>
      <w:r>
        <w:rPr>
          <w:rStyle w:val="link"/>
          <w:lang w:val="el" w:eastAsia="el"/>
        </w:rPr>
        <w:t>4670/2020</w:t>
      </w:r>
      <w:r>
        <w:rPr>
          <w:lang w:val="el" w:eastAsia="el"/>
        </w:rPr>
        <w:t xml:space="preserve"> (ΦΕΚ 43/Α’) «Ασφαλιστική μεταρρύθμιση και ψηφιακός μετασχηματισμός Εθνικού Φορέα Κοινωνικής Ασφάλισης (e-Ε.Φ.Κ.Α.) και άλλες διατάξεις», 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rStyle w:val="link"/>
          <w:lang w:val="el" w:eastAsia="el"/>
        </w:rPr>
        <w:t>Φ.ΕΦΚΑ/οικ.22424/861/2017</w:t>
      </w:r>
      <w:r>
        <w:rPr>
          <w:lang w:val="el" w:eastAsia="el"/>
        </w:rPr>
        <w:t xml:space="preserve"> απόφασης της Υπουργού Εργασίας, Κοινωνικής Ασφάλισης και Κοινωνικής Αλληλεγγύης (ΦΕΚ 1720/Β’) «Κανονισμός Οικονομικής Οργάνωσης και Λογιστικής Λειτουργίας του Ενιαίου Φορέα Κοινωνικής Ασφάλισης (Ε.Φ.Κ.Α.)», όπως τροποποιήθηκε και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 xml:space="preserve">ν. </w:t>
      </w:r>
      <w:r>
        <w:rPr>
          <w:rStyle w:val="link"/>
          <w:lang w:val="el" w:eastAsia="el"/>
        </w:rPr>
        <w:t>4412/2016</w:t>
      </w:r>
      <w:r>
        <w:rPr>
          <w:lang w:val="el" w:eastAsia="el"/>
        </w:rPr>
        <w:t xml:space="preserve"> (ΦΕΚ 147/Α’) «Δημόσιες Συμβάσεις Έργων, Προμηθειών και Υπηρεσιών (προσαρμογή στις Οδηγίες 2014/24/ΕΕ και 2014/25/ΕΕ)» και ιδίως το </w:t>
      </w:r>
      <w:r>
        <w:rPr>
          <w:rStyle w:val="link"/>
          <w:lang w:val="el" w:eastAsia="el"/>
        </w:rPr>
        <w:t>άρθρο 6 παρ. 2</w:t>
      </w:r>
      <w:r>
        <w:rPr>
          <w:lang w:val="el" w:eastAsia="el"/>
        </w:rPr>
        <w:t xml:space="preserve"> εδάφιο β’, όπως τροποποιήθηκε με το </w:t>
      </w:r>
      <w:r>
        <w:rPr>
          <w:rStyle w:val="link"/>
          <w:lang w:val="el" w:eastAsia="el"/>
        </w:rPr>
        <w:t>άρθρο 11</w:t>
      </w:r>
      <w:r>
        <w:rPr>
          <w:lang w:val="el" w:eastAsia="el"/>
        </w:rPr>
        <w:t xml:space="preserve"> του ν. </w:t>
      </w:r>
      <w:r>
        <w:rPr>
          <w:rStyle w:val="link"/>
          <w:lang w:val="el" w:eastAsia="el"/>
        </w:rPr>
        <w:t>4468/2017</w:t>
      </w:r>
      <w:r>
        <w:rPr>
          <w:lang w:val="el" w:eastAsia="el"/>
        </w:rPr>
        <w:t xml:space="preserve"> (Α’/61) με το οποίο χορηγείται εξουσιοδότηση για την έκδοση της παρούσας»,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 xml:space="preserve">ν. </w:t>
      </w:r>
      <w:r>
        <w:rPr>
          <w:rStyle w:val="link"/>
          <w:lang w:val="el" w:eastAsia="el"/>
        </w:rPr>
        <w:t>3861/2010</w:t>
      </w:r>
      <w:r>
        <w:rPr>
          <w:lang w:val="el" w:eastAsia="el"/>
        </w:rPr>
        <w:t xml:space="preserve"> (ΦΕΚ 112 Α’) «Ενίσχυση της διαφάνειας με την υποχρεωτική ανάρτηση νόμων και πράξεων των κυβερνητικών, διοικητικών και αυτοδιοικητικών οργάνων στο διαδίκτυο “Πρόγραμμα Διαύγεια” και άλλες διατάξεις»,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 xml:space="preserve">του ν. </w:t>
      </w:r>
      <w:r>
        <w:rPr>
          <w:rStyle w:val="link"/>
          <w:lang w:val="el" w:eastAsia="el"/>
        </w:rPr>
        <w:t>4270/2014</w:t>
      </w:r>
      <w:r>
        <w:rPr>
          <w:lang w:val="el" w:eastAsia="el"/>
        </w:rPr>
        <w:t xml:space="preserve"> «Αρχές δημοσιονομικής διαχείρισης και εποπτείας (ενσωμάτωση της Οδηγίας 2011/85/ εε) δημόσιο λογιστικό και άλλες διατάξεις» (ΦΕΚ 143/Α’), και ειδικότερα των </w:t>
      </w:r>
      <w:r>
        <w:rPr>
          <w:rStyle w:val="link"/>
          <w:lang w:val="el" w:eastAsia="el"/>
        </w:rPr>
        <w:t>άρθρων 24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25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26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65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66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67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68</w:t>
      </w:r>
      <w:r>
        <w:rPr>
          <w:lang w:val="el" w:eastAsia="el"/>
        </w:rPr>
        <w:t xml:space="preserve">, </w:t>
      </w:r>
      <w:r>
        <w:rPr>
          <w:rStyle w:val="link"/>
          <w:lang w:val="el" w:eastAsia="el"/>
        </w:rPr>
        <w:t>69Γ</w:t>
      </w:r>
      <w:r>
        <w:rPr>
          <w:lang w:val="el" w:eastAsia="el"/>
        </w:rPr>
        <w:t xml:space="preserve">, η) της αριθμ. </w:t>
      </w:r>
      <w:r>
        <w:rPr>
          <w:rStyle w:val="link"/>
          <w:lang w:val="el" w:eastAsia="el"/>
        </w:rPr>
        <w:t>75555/289/6.7.2017</w:t>
      </w:r>
      <w:r>
        <w:rPr>
          <w:lang w:val="el" w:eastAsia="el"/>
        </w:rPr>
        <w:t xml:space="preserve"> (ΦΕΚ 2336/Β’) κοινής υπουργικής απόφασης «Καθορισμός κριτηρίων υπαγωγής στην έννοια της “χωριστής επιχειρησιακής μονάδας ανεξαρτήτως υπεύθυνης για τη σύναψη συμβάσεων της ίδιας ή ορισμένων κατηγοριών αυτών” του </w:t>
      </w:r>
      <w:r>
        <w:rPr>
          <w:rStyle w:val="link"/>
          <w:lang w:val="el" w:eastAsia="el"/>
        </w:rPr>
        <w:t>άρθρου 6 παρ. 2</w:t>
      </w:r>
      <w:r>
        <w:rPr>
          <w:lang w:val="el" w:eastAsia="el"/>
        </w:rPr>
        <w:t xml:space="preserve">, εδάφιο β’ του ν. </w:t>
      </w:r>
      <w:r>
        <w:rPr>
          <w:rStyle w:val="link"/>
          <w:lang w:val="el" w:eastAsia="el"/>
        </w:rPr>
        <w:t>4412/2016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αριθμ. 88/7ης/28-2-2020 απόφαση του Διοικητικού Συμβουλίου του e-Ε.Φ.Κ.Α. «Μεταβίβαση της άσκησης αρμοδιοτήτων του Διατάκτη και δευτερευόντων διατακτών του e-Ε.Φ.Κ.Α.».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Το γεγονός ότι από την απόφαση αυτή δεν προκαλείται δαπάνη σε βάρος του κρατικού προϋπολογισμού,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διαπιστώνουμε: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Α. Ότι οι παρακάτω υπαγόμενες στον Ηλεκτρονικό Εθνικό Φορέα Κοινωνικής Ασφάλισης (e-Ε.Φ.Κ.Α.), διοικητικές μονάδες, οι οποίες λειτουργούν σε επίπεδο Γενικής Διεύθυνσης, υπάγονται στην έννοια της «χωριστής επιχειρησιακής μονάδας ανεξαρτήτως υπεύθυνης για τη σύναψη συμβάσεων της ίδιας ή ορισμένων κατηγοριών αυτών» του </w:t>
      </w:r>
      <w:r>
        <w:rPr>
          <w:rStyle w:val="link"/>
          <w:lang w:val="el" w:eastAsia="el"/>
        </w:rPr>
        <w:t>άρθρου 6 παρ. 2</w:t>
      </w:r>
      <w:r>
        <w:rPr>
          <w:lang w:val="el" w:eastAsia="el"/>
        </w:rPr>
        <w:t xml:space="preserve"> εδαφ. β’ του ν. </w:t>
      </w:r>
      <w:r>
        <w:rPr>
          <w:rStyle w:val="link"/>
          <w:lang w:val="el" w:eastAsia="el"/>
        </w:rPr>
        <w:t>4412/2016</w:t>
      </w:r>
      <w:r>
        <w:rPr>
          <w:lang w:val="el" w:eastAsia="el"/>
        </w:rPr>
        <w:t xml:space="preserve"> και της κοινής υπουργικής απόφασης με αριθμ. </w:t>
      </w:r>
      <w:r>
        <w:rPr>
          <w:rStyle w:val="link"/>
          <w:lang w:val="el" w:eastAsia="el"/>
        </w:rPr>
        <w:t>75555/289/6.7.2017</w:t>
      </w:r>
      <w:r>
        <w:rPr>
          <w:lang w:val="el" w:eastAsia="el"/>
        </w:rPr>
        <w:t xml:space="preserve"> (ΦΕΚ 2336 Β’):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Περιφερειακή Υπηρεσία Συντονισμού και Υποστήριξης (Π.Υ.Σ.Υ.) Ανατολικής Μακεδονίας-Θράκης με έδρα την Κομοτηνή,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Περιφερειακή Υπηρεσία Συντονισμού και Υποστήριξης (Π.Υ.Σ.Υ.) Κεντρικής Μακεδονίας με έδρα τη Θεσσαλονίκη,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γ. Περιφερειακή Υπηρεσία Συντονισμού και Υποστήριξης (Π.Υ.Σ.Υ.) Δυτικής Μακεδονίας με έδρα την Κοζάνη,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δ. Περιφερειακή Υπηρεσία Συντονισμού και Υποστήριξης (Π.Υ.Σ.Υ.) Ηπείρου και Κέρκυρας με έδρα τα Ιωάννινα,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Περιφερειακή Υπηρεσία Συντονισμού και Υποστήριξης (Π.Υ.Σ.Υ. ) Θεσσαλίας με έδρα τη Λάρισα,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Περιφερειακή Υπηρεσία Συντονισμού και Υποστήριξης (Π.Υ.Σ.Υ.) Στερεάς Ελλάδας με έδρα τη Λαμία,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Περιφερειακή Υπηρεσία Συντονισμού και Υποστήριξης (Π.Υ.Σ.Υ.) Δυτικής Ελλάδας, Ζακύνθου, Κεφαλληνίας και Λευκάδας με έδρα την Πάτρα,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η. Περιφερειακή Υπηρεσία Συντονισμού και Υποστήριξης (Π.Υ.Σ.Υ.) Πελοποννήσου με έδρα την Τρίπολη,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Περιφερειακή Υπηρεσία Συντονισμού και Υποστήριξης (Π.Υ.Σ.Υ.) Αττικής με έδρα την Αθήνα,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ι. Περιφερειακή Υπηρεσία Συντονισμού και Υποστήριξης (Π.Υ.Σ.Υ.) Βορείου Αιγαίου με έδρα τη Μυτιλήνη,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Περιφερειακή Υπηρεσία Συντονισμού και Υποστήριξης (Π.Υ.Σ.Υ.) Νοτίου Αιγαίου με έδρα τη Ρόδο,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Περιφερειακή Υπηρεσία Συντονισμού και Υποστήριξης ( Π.Υ.Σ.Υ.) Κρήτης με έδρα το Ηράκλειο.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Στις ως άνω διοικητικές μονάδες του e-Ε.Φ.Κ.Α. έχουν μεταβιβαστεί και ασκούνται αρμοδιότητες σύμφωνα με το π.δ. 8/2019 (ΦΕΚ 8/Α’), όπως ισχύει και την αριθμ. 88/συν. 7ης/28-2-2020 απόφαση του Διοικητικού Συμβουλίου του e-Ε.Φ.Κ.Α., από τα οποία τεκμαίρεται ότι: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διαθέτουν σημαντικό βαθμό αυτοτελούς διοικητικής ικανότητας, δηλαδή βάσει των οικείων διατάξεων (άρθρο 33 παρ. 5 του π.δ. 8/2019) σχεδιάζουν, αποφασίζουν, συνάπτουν και υλοποιούν ανεξάρτητα δημόσιες συμβάσεις, 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διαθέτουν σημαντικό βαθμό δημοσιονομικής αυτοτέλειας, δεδομένου ότι τίθενται στη διάθεσή τους με επιτροπικά εντάλματα οι πιστώσεις που απαιτούνται για τη σύναψη και την εκτέλεση δημοσίων συμβάσεων.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Προϊστάμενοι των Περιφερειακών Υπηρεσιών Συντονισμού και Υποστήριξης (Π.Υ.Σ.Υ.), ασκούν αρμοδιότητες δευτερεύοντος διατάκτη του e-Ε.Φ.Κ.Α. εντός της χωρικής αρμοδιότητάς των Π.Υ.Σ.Υ.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είδος των συμβάσεων, βάσει των Κωδικών Αριθμών Εξόδων (Κ.Α.Ε.) και των κωδικών του κοινού λεξιλογίου δημοσίων συμβάσεων (C.P.V.), αναγράφεται στον παρακάτω πίνακα: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1031"/>
        <w:gridCol w:w="1508"/>
        <w:gridCol w:w="600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Κ.Α.Ε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CPV</w:t>
            </w:r>
            <w:r>
              <w:rPr>
                <w:rStyle w:val="Hyperlink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none" w:color="0000EE"/>
                <w:vertAlign w:val="superscript"/>
                <w:lang w:val="el" w:eastAsia="el"/>
              </w:rPr>
              <w:footnoteReference w:id="2"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 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09123000-7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Φυσικό αέριο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09132100-4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Αμόλυβδη βενζίνη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09134100-8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Πετρέλαιο ντίζελ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09135100-5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Πετρέλαιο θέρμανσης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18110000-3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Ρουχισμός Επαγγελματικής Χρήσης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19640000-4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Σάκοι και τσάντες αποβλήτων και απορριμμάτων από πολυαιθυλένιο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22457000-8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Κάρτες εισόδου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22817000-0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Ημερολόγια ή Προσωπικές Ατζέντες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24111900-4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Οξυγόνο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24951230-6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Αναγόμωσης Πυροσβεστήρων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30121200-5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Φωτοαντιγραφικές συσκευές (Μίσθωση)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30124000-4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Μέρη και εξαρτήματα μηχανών γραφείου (Μόνο για εξαρτήματα/ ανταλλακτικά που αφορούν επισκευές/συντηρήσεις εκτυπωτών και φωτοαντιγραφικών μηχανημάτων)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30124300-7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Κύλινδροι για μηχανήματα γραφείου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30125000-1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Μέρη και εξαρτήματα φωτοαντιγραφικών συσκευών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30125100-2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Φύσιγγες σκόνης τόνερ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30125110-5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Τόνερ για εκτυπωτές λέιζερ/ συσκευές τηλεομοιοτυπίας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30125120-8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Τόνερ για φωτοαντιγραφικές μηχανές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30141200-1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Επιτραπέζιες αριθμομηχανές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30191400-8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Συσκευές κατατεμαχισμού εγγράφων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30192113-6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Φύσιγγες μελάνης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30192170-3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Πίνακες ανακοινώσεων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30192320-0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Μελανοταινίες εκτυπωτών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30197641-1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Θερμογραφικό χαρτί (Μόνο για ρολά για τα συστήματα προτεραιότητας)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30213300-8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Επιτραπέζιοι Ηλεκτρονικοί Υπολογιστές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30230000-0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Εξοπλισμός ηλεκτρονικών υπολογιστών (Μόνο για εξαρτήματα/ ανταλλακτικά που αφορούν επισκευές/συντηρήσεις Η/Υ)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31100000-7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Ηλεκτροκινητήρες, ηλεκτρογεννήτριες και ηλεκτρικοί μετασχηματιστές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31141000-6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Ψύκτες νερού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31154000-0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Αδιάλειπτα τροφοδοτικά ρεύματος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31160000-5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Μέρη ηλεκτροκινητήρων, ηλεκτρογεννητριών και ηλεκτρικών μετασχηματιστών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31430000-9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Ηλεκτρικοί συσσωρευτές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31440000-2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Μπαταρίες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31500000-1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Φωτιστικός εξοπλισμός και ηλεκτρικοί λαμπτήρες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31523000-8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Φωτεινές επιγραφές και πινακίδες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31620000-8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Ηλεκτρικές συσκευές ηχητικής ή οπτικής σηματοδότησης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31625000-3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Συστήματα συναγερμού κλοπής και πυρκαγιάς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31625100-4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Συστήματα πυρανίχνευσης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31625200-5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Συστήματα συναγερμού πυρκαγιάς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31681410-0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Ηλεκτρολογικό υλικό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31711310-9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Συστήματα Καταγραφής χρόνου παρουσίας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32232000-8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Εξοπλισμός τηλεδιασκέψεων (οπτικοακουστικό υλικό)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32234000-2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Κάμερες κλειστού κυκλώματος τηλεόρασης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32235000-9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Σύστημα παρακολούθησης κλειστού κυκλώματος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32520000-4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Καλώδια και εξοπλισμός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32523000-5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Εγκαταστάσεις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32541000-7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Εξοπλισμός τηλεφωνικών κέντρων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32543000-1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Τηλεφωνικά κέντρα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32552100-8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Τηλεφωνικές συσκευές (για προμήθεια)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32552310-3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Ψηφιακά τηλεφωνικά κέντρα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33100000-1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Ιατρικές συσκευές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33110000-4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Εξοπλισμός απεικόνισης ιατρικής, οδοντιατρικής και κτηνιατρικής χρήσης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33122000-1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Οφθαλμολογικός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33123100-9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Πιεσόμετρο αρτηριακής πίεσης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33123230-9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Καρδιογράφοι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33124100-6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Συσκευές διαγνωστικής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33124131-2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Αντιδραστήρια σε ταινίες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33140000-3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Ιατρικά αναλώσιμα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33141623-3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Κυτία Πρώτων Βοηθειών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33141625-7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Εξοπλισμοί Διάγνωσης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33157200-7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Αναπνευστικές συσκευές οξυγόνου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33182100-0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Απινιδωτής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33192000-2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Ιατρικές προμήθειες (για εξοπλισμό ΚΕΠΑ)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33192210-7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Τράπεζες ιατρικών εξετάσεων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33193110-3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Αναπηρικά καροτσάκια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33196200-2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Εξοπλισμός για άτομα με ειδικές ανάγκες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33631600-8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Αντισηπτικά και απολυμαντικά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33760000-5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Χαρτί υγείας, χαρτομάντιλα, πετσέτες χειρός και χαρτοπετσέτες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33761000-2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Χαρτί υγείας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33763000-6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Χάρτινες χειροπετσέτες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34351000-2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Ελαστικά ελαφράς χρήσεως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34900000-6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Ποικίλος εξοπλισμός μεταφοράς και ανταλλακτικά (για καρότσια μεταφοράς φακέλων)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35111000-5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Πυροσβεστικός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35111320-4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Φορητοί πυροσβεστήρες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35121500-3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Σφραγίδες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35121700-5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Συστήματα συναγερμού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35821000-5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Σημαίες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37823900-2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Χαρτί περιτυλίγματος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38410000-2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Όργανα μέτρησης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38434210-1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Ακοόμετρα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38821000-6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Συσκευές ασύρματου τηλεχειρισμού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39111000-3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Καθίσματα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39113700-4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Υποπόδια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39121100-7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39122200-5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Βιβλιοθήκες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39131100-0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Ράφια αρχειοθέτησης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39136000-4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Κρεμάστρες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39220000-0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Εξοπλισμός κουζίνας, είδη οικιακής χρήσης και αναλώσιμα τροφοδοσίας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39224000-8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Σκούπες και βούρτσες και άλλα είδη διαφόρων τύπων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39224340-3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Κάδοι (απορριμμάτων)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39515400-9 έως 39515440-1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Σκίαστρα( με όλες τις υποομάδες που αφορούν στόρια , περσίδες κ.λπ. για εσωτερικούς χώρους)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39522120-4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Τέντες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39522130-7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Σκίαστρα ( αφορούν εξωτερικούς χώρους)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39717200-3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Συσκευές κλιματισμού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39812400-1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Υλικά σφουγγαρίσματος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39830000-9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Προϊόντα Καθαρισμού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41110000-3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Πόσιμο νερό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42120000-6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Αντλίες και συμπιεστές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42131110-0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Βαλβίδες σωμάτων κεντρικής θέρμανσης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42131400-0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Στρόφιγγες, κρουνοί ή δικλείδες ειδών υγιεινής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42160000-8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Λεβητοστάσια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42161000-5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Λέβητες ζεστού νερού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42419510-4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Μέρη ανελκυστήρων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42512000-8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Κλιματιστικές Εγκαταστάσεις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42512300-1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Συγκροτήματα Θέρμανσης, αερισμού και κλιματισμού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42923110-6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Ζυγαριές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44111400-5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Χρώματα και επενδύσεις τοίχων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44112300-1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Διαχωριστικά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44113330-7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Υλικά επίχρισης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44115210-4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Υλικά υδραυλικών εγκαταστάσεων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44173000-3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Ταινίες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44200000-2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Δομικά υλικά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44333000-3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Σύρμα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44411100-5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Κρουνοί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44411300-7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Νιπτήρες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44411700-1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Καθίσματα λεκανών τουαλέτας, καλύμματα λεκανών τουαλέτας, λεκάνες τουαλέτας, λεκάνες και καζανάκια αποχωρητηρίου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44422000-4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Γραμματοκιβώτια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44423200-3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Σκάλες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44423400-5 έως 44423460-3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Σήματα και συναφή είδη, επιγραφές ονομάτων, επιγραφές διευθύνσεων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44423700-8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Στοιχεία φρεατίων επίσκεψης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44424000-8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Κουτιά και ταινίες υποδοχών μετρητών (μόνο ότι αφορά σε ηλεκτρολογικό/υδραυλικό υλικό)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44424200-0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Κολλητική ταινία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44520000-1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Κλειδαριές, κλειδιά και μεντεσέδες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44521200-0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Λουκέτα κι αλυσίδες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44522000-5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Πόρπες, μέρη κλειδαριών και κλειδιά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44523000-2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Μεντεσέδες, συνδέσεις και εξαρτήματα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44530000-4 έως 44532200-0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Συνδετήρες (ξυλόβιδες, παξιμάδια, βίδες, μπουλόνια, πριτσίνια ροδέλες κ.λπ.)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44610000-9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Δεξαμενές, ταμιευτήρες, δοχεία και δοχεία υπό πίεση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44617100-9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Χαρτοκιβώτια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44620000-2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Σώματα καλοριφέρ, λέβητες κεντρικής θέρμανσης και μέρη τους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44810000-1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Χρώματα επίχρισης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44820000-4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Βερνίκια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44830000-7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Μαστίχες, πληρωτικά, στόκος και διαλύτες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45232221-7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Υποσταθμός μετασχηματιστών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45312200-9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εγκατάστασης αντικλεπτικού συναγερμού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45314000-1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Εγκατάσταση τηλεπικοινωνιακού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45314300-4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Καλωδιακή υποδομή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45315100-9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τοποθέτησης ηλεκτρολογικών εγκαταστάσεων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45316100-6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Τοποθέτηση εξοπλισμού φωτισμού εξωτερικών χώρων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45317000-2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Άλλες εργασίες ηλεκτρολογικών εγκαταστάσεων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45330000-9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Υδραυλικές εργασίες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45331000-6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εγκαταστάσεων θέρμανσης, αερισμού και κλιματισμού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45331100-7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εγκατάστασης κεντρικής θέρμανσης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45331110-0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εγκατάστασης λεβήτων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45331200-8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εγκαταστάσεων αερισμού και κλιματισμού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45331230-7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εγκατάστασης ψυκτικού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45343220-1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εγκατάστασης πυροσβεστήρων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45350000-5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Μηχανολογικές εγκαταστάσεις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45421145-2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Εργασίες τοποθέτησης ρολών παραθύρων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50112000-3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Αυτοκινήτων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50112300-6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Πλύσιμο αυτοκινήτων και παρόμοιες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50313100-3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φωτοαντιγραφικών μηχανημάτων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50313200-4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συντήρησης φωτοαντιγραφικών μηχανημάτων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50314000-9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συσκευών τηλεομοιοτυπίας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50316000-3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μηχανών έκδοσης εισιτηρίων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50323000-5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Συντήρηση και επισκευή περιφερειακού εξοπλισμού ηλεκτρονικών υπολογιστών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50334130-5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τηλεφωνικών κέντρων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50334140-8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συσκευών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50413200-5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Εξοπλισμού Πυρόσβεσης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50511000-0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αντλιών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50514200-3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δεξαμενών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50530000-9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μηχανημάτων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50531300-9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συμπιεστών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50532300-6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γεννητριών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50700000-2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εγκαταστάσεων κτιρίου (Συντήρηση εγκαταστάσεων ψύξης -θέρμανσης -κλιματισμού)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50710000-5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ηλεκτρομηχανολογικών εγκαταστάσεων κτιρίου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50711000-2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ηλεκτρολογικών εγκαταστάσεων κτιρίου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50712000-9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επισκευής και συντήρησης μηχανολογικών εγκαταστάσεων κτιρίου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50750000-7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Συντήρησης ανελκυστήρων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 και 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50800000-3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Διάφορες υπηρεσίες επισκευής και συντήρησης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51000000-9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(εκτός από υπηρεσίες εγκατάστασης λογισμικού)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51100000-3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ηλεκτρομηχανολογικού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51212000-1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συσκευών καταγραφής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51300000-5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εξοπλισμού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51310000-8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εξοπλισμού ραδιοφωνίας, τηλεόρασης, ήχου και βίντεο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51340000-7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εξοπλισμού ενσύρματης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51620000-4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εξοπλισμού γραφείου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51700000-9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εξοπλισμού πυροπροστασίας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51800000-0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μεταλλικών δοχείων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51810000-3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εγκατάστασης δεξαμενών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60000000-8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Μεταφορών (εκτός από μεταφορά αποβλήτων)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60130000-8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ειδικών οδικών μεταφορών επιβατών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60182000-7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Ενοικίαση οχημάτων επαγγελματικής χρήσης με οδηγό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63712400-7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χώρων στάθμευσης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64120000-3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ιδιωτικών ταχυδρομικών γραφείων (υπηρεσίες courier)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71317200-5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υγείας και ασφάλειας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0419 ή 0439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71631000-0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τεχνικής επιθεώρησης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77314000-4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συντήρησης (αποψίλωσης) οικοπέδων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77340000-5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Κλάδεμα δένδρων και θάμνων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79711000-1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παρακολούθησης συστημάτων συναγερμού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79713000-5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φύλαξης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0419 ή 0439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79722000-1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γραφολογίας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90670000-4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απολύμανσης και εξολόθρευσης σε αστικές ή αγροτικές ζώνες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90911200-8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καθαρισμού κτιρίων (μόνο για κενά κτίρια)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90911300-9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καθαρισμού υαλοπινάκων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90919200-4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καθαρισμού γραφείων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90921000-9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Απολύμανσης και Εξολόθρευσης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98395000-8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Υπηρεσίες κλειθροποιού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Αθήνα, 12 Μαρτίου 2020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ΧΡΗΣΤΟΣ ΧΑΛΑΡΗΣ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/>
        <w:rPr>
          <w:rStyle w:val="Hyperlink"/>
          <w:b w:val="0"/>
          <w:bCs w:val="0"/>
          <w:i w:val="0"/>
          <w:iCs w:val="0"/>
          <w:smallCaps w:val="0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b w:val="0"/>
          <w:bCs w:val="0"/>
          <w:i w:val="0"/>
          <w:iCs w:val="0"/>
          <w:smallCaps w:val="0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b w:val="0"/>
          <w:bCs w:val="0"/>
          <w:i w:val="0"/>
          <w:iCs w:val="0"/>
          <w:smallCaps w:val="0"/>
          <w:color w:val="000000"/>
          <w:lang w:val="el" w:eastAsia="el"/>
        </w:rPr>
        <w:t>Τροποποίηση A. 63504/2020 09.04.2020; Τροποποίηση A. 92497/2020 04.06.2020; Τροποποίηση A. 233157/2020 07.10.2020; Τροποποίηση A.  316376/2020 09.12.2020; Τροποποίηση A. 339747/2020 23.12.2020; Τροποποίηση A. 95149/2021 31.03.2021; Τροποποίηση A. 236645/2022 25.05.2022; Τροποποίηση A. 435882/2023 20.09.2023; Τροποποίηση A. 1040500/2024 05.08.2024; Τροποποίηση A. 1460146/2024 29.10.2024; Τροποποίηση A. 1161840/2025 20.08.2025; Τροποποίηση A.  1256596/2025 04.09.2025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nk">
    <w:name w:val="link"/>
    <w:basedOn w:val="DefaultParagraphFont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