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Αριθμ. 38886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Διαμόρφωση εθνικού πλαισίου ωραρίου των υπεραγορών τροφίμων (super market) τη Μεγάλη Παρασκευή 17.4.2020.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ΑΝΑΠΤΥΞΗΣ KAI ΕΠΕΝΔΥΣΕΩΝ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έβδομου της από 13.04.2020 Πράξης Νομοθετικού Περιεχομένου «Μέτρα για την αντιμετώπιση των συνεχιζόμενων συνεπειών της πανδημίας του κορωνοϊού COVID-19 και άλλες κατεπείγουσες διατάξεις.» (Α’ 84).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ν. 3377/2005 «Αρχές και Κανόνες για την εξυγίανση της λειτουργίας και της ανάπτυξης βασικών τομέων του εμπορίου και της αγοράς - Θέματα Υπουργείου Ανάπτυξης» (Α’ 202) και ειδικότερα του άρθρο 12 αυτού.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άρθρου 42 του ν. 1892/1990 «Για τον εκσυγχρονισμό και την ανάπτυξη και άλλες διατάξεις» (Α’ 101), όπως αντικαταστάθηκε με την παρ. 7 του άρθρου 23 του ν. 1957/1991 «Διαρρυθμίσεις στον ενιαίο ειδικό φόρο κατανάλωσης των πετρελαιοειδών προϊόντων και άλλες διατάξεις.» (Α’ 114).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4177/2013 «Κανόνες ρύθμισης της αγοράς προϊόντων και της παροχής υπηρεσιών και άλλες διατάξεις» (Α’ 173) και ειδικότερα των άρθρων 1, 2, 3 και 4 αυτού.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π.δ. 147/2017 «Οργανισμός Υπουργείου Οικονομίας &amp; Ανάπτυξης» (Α’ 185).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του π.δ. 81/2019 «Σύσταση, συγχώνευση, μετονομασία και κατάργηση Υπουργείων και καθορισμός των αρμοδιοτήτων τους - Μεταφορά υπηρεσιών και αρμοδιοτήτων μεταξύ Υπουργείων» (Α’ 119),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του π.δ. 83/2019 «Διορισμός Αντιπροέδρου της Κυβέρνησης, Υπουργών, Αναπληρωτών Υπουργών και Υφυπουργών» (Α’ 121), και διόρθωση σφαλμάτων (Α’ 126).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Τις διατάξεις του άρθρου 90 του π.δ. 63/2005 (Α’ 98) «Κωδικοποίηση της νομοθεσίας για την Κυβέρνηση και τα κυβερνητικά όργανα», που διατηρήθηκε σε ισχύ με την παρ. 22 του άρθρου 119 του ν. 4622/2019.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Την παρ. 2 του άρθρου 1 της αριθμ. 36938/09.04.2020 απόφασης του Υπουργού Ανάπτυξης και Επενδύσεων «Διαμόρφωση εθνικού πλαισίου ωραρίου των εμπορικών καταστημάτων λιανικής πώλησης τροφίμων την Κυριακή 12.4.2020» (Β’ 1274).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10. Την αριθμ. 36763/8.4.2020 εισήγηση της Γενικής Διεύθυνσης Οικονομικών Υπηρεσιών του Υπουργείου Ανάπτυξης και Επενδύσεων, βάσει του άρθρου 24 παρ. 5 περ. (ε) του ν. 4270/2014 (Α’ 143), σύμφωνα με την οποία η έκδοση της παρούσας απόφασης δεν προκαλεί δαπάνη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εθνικό πλαίσιο ωραρίου των υπεραγορών τροφίμων (super market) τη Μεγάλη Παρασκευή 17.4.2020 διαμορφώνεται από 13:00 έως 19:00.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υπουργική απόφαση δύναται να τροποποιηθεί ή και να ανακληθεί με νεότερη, εφόσον κριθεί αναγκαίο λαμβάνοντας υπόψη τις εκάστοτε επικρατούσες συνθήκες της αγοράς.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επιχειρήσεις οφείλουν να εφαρμόζουν απαρέγκλιτα τα οριζόμενα της παρούσας. Η μη συμμόρφωση επισύρει την επιβολή κυρώσεων σύμφωνα με τα οριζόμενα του άρθρου 12 του ν. 3377/2005 «Αρχές και Κανόνες για την εξυγίανση της λειτουργίας και της ανάπτυξης βασικών τομέων του εμπορίου και της αγοράς - Θέματα Υπουργείου Ανάπτυξης» (Α’ 202).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14 Απριλίου 2020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ΣΠΥΡΙΔΩΝ - ΑΔΩΝΙΣ ΓΕΩΡΓΙΑΔΗΣ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