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Θεσ/κης&amp; Χανδρή 1</w:t>
      </w:r>
    </w:p>
    <w:p>
      <w:pPr>
        <w:spacing w:before="240" w:after="240"/>
        <w:rPr>
          <w:lang w:val="el" w:eastAsia="el"/>
        </w:rPr>
      </w:pPr>
      <w:r>
        <w:rPr>
          <w:lang w:val="el" w:eastAsia="el"/>
        </w:rPr>
        <w:t>18346 ΜΟΣΧΑΤΟ</w:t>
      </w:r>
    </w:p>
    <w:p>
      <w:pPr>
        <w:spacing w:before="240" w:after="240"/>
        <w:rPr>
          <w:lang w:val="el" w:eastAsia="el"/>
        </w:rPr>
      </w:pPr>
      <w:r>
        <w:rPr>
          <w:lang w:val="el" w:eastAsia="el"/>
        </w:rPr>
        <w:t>Π. Μαυρίδης</w:t>
      </w:r>
    </w:p>
    <w:p>
      <w:pPr>
        <w:spacing w:before="240" w:after="240"/>
        <w:rPr>
          <w:lang w:val="el" w:eastAsia="el"/>
        </w:rPr>
      </w:pPr>
      <w:r>
        <w:rPr>
          <w:lang w:val="el" w:eastAsia="el"/>
        </w:rPr>
        <w:t>213 1621133</w:t>
      </w:r>
    </w:p>
    <w:p>
      <w:pPr>
        <w:spacing w:before="240" w:after="240"/>
        <w:rPr>
          <w:lang w:val="el" w:eastAsia="el"/>
        </w:rPr>
      </w:pPr>
      <w:hyperlink r:id="rId4" w:history="1">
        <w:r>
          <w:rPr>
            <w:rStyle w:val="Hyperlink"/>
            <w:color w:val="0000EE"/>
            <w:u w:color="0000EE"/>
            <w:lang w:val="el" w:eastAsia="el"/>
          </w:rPr>
          <w:t>p.mavridis@aade.gr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ΑΔΑ: ΨΧΗΟ46ΜΠ3Ζ-737</w:t>
      </w:r>
    </w:p>
    <w:p>
      <w:pPr>
        <w:spacing w:before="240" w:after="240"/>
        <w:rPr>
          <w:lang w:val="el" w:eastAsia="el"/>
        </w:rPr>
      </w:pPr>
      <w:r>
        <w:rPr>
          <w:b/>
          <w:bCs/>
          <w:u w:val="single"/>
          <w:lang w:val="el" w:eastAsia="el"/>
        </w:rPr>
        <w:t>ΑΡΙΘ. ΦΕΚ:1812 B /12.05.2020</w:t>
      </w:r>
    </w:p>
    <w:p>
      <w:pPr>
        <w:spacing w:before="240" w:after="240"/>
        <w:rPr>
          <w:lang w:val="el" w:eastAsia="el"/>
        </w:rPr>
      </w:pPr>
      <w:r>
        <w:rPr>
          <w:b/>
          <w:bCs/>
          <w:u w:val="single"/>
          <w:lang w:val="el" w:eastAsia="el"/>
        </w:rPr>
        <w:t>Μοσχάτο, 29/04/2020</w:t>
      </w:r>
    </w:p>
    <w:p>
      <w:pPr>
        <w:spacing w:before="240" w:after="240"/>
        <w:rPr>
          <w:lang w:val="el" w:eastAsia="el"/>
        </w:rPr>
      </w:pPr>
      <w:r>
        <w:rPr>
          <w:b/>
          <w:bCs/>
          <w:u w:val="single"/>
          <w:lang w:val="el" w:eastAsia="el"/>
        </w:rPr>
        <w:t>Α.1102</w:t>
      </w:r>
    </w:p>
    <w:p>
      <w:pPr>
        <w:spacing w:before="240" w:after="240"/>
        <w:rPr>
          <w:lang w:val="el" w:eastAsia="el"/>
        </w:rPr>
      </w:pPr>
      <w:r>
        <w:rPr>
          <w:b/>
          <w:bCs/>
          <w:u w:val="single"/>
          <w:lang w:val="el" w:eastAsia="el"/>
        </w:rPr>
        <w:t xml:space="preserve">ΠΡΟΣ: </w:t>
      </w:r>
      <w:r>
        <w:rPr>
          <w:u w:val="single"/>
          <w:lang w:val="el" w:eastAsia="el"/>
        </w:rPr>
        <w:t>Ως Πίνακας Διανομής</w:t>
      </w:r>
    </w:p>
    <w:p>
      <w:pPr>
        <w:spacing w:before="240" w:after="240"/>
        <w:rPr>
          <w:lang w:val="el" w:eastAsia="el"/>
        </w:rPr>
      </w:pPr>
      <w:r>
        <w:rPr>
          <w:b/>
          <w:bCs/>
          <w:u w:val="single"/>
          <w:lang w:val="el" w:eastAsia="el"/>
        </w:rPr>
        <w:t>ΘEΜA: Τροποποίηση της Απόφασης Διοικητή ΑΑΔΕ Α.1024/2020 (ΦΕΚ 317Β/6-2 2020) «Συμπληρωματικές τεχνικές προδιαγραφές πρωτοκόλλου επικοινωνίας και κρυπτογράφησης για την διαβίβαση δεδομένων στο πληροφοριακό σύστημα των ΦΗΜ»</w:t>
      </w:r>
    </w:p>
    <w:p>
      <w:pPr>
        <w:spacing w:before="240" w:after="240"/>
        <w:rPr>
          <w:lang w:val="el" w:eastAsia="el"/>
        </w:rPr>
      </w:pPr>
      <w:r>
        <w:rPr>
          <w:b/>
          <w:bCs/>
          <w:u w:val="single"/>
          <w:lang w:val="el" w:eastAsia="el"/>
        </w:rPr>
        <w:t>ΑΠΟΦΑΣΗO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Της Απόφασης Διοικητή ΑΑΔΕ Α.1024/2020 (ΦΕΚ 317Β/6-2-2020) «Συμπληρωματικές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5του άρθρου 14 και του άρθρου 41 αυτού.</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u w:val="single"/>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u w:val="single"/>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Τροποποιούμε την Απόφαση του Διοικητή της Α.Α.Δ.Ε. Α.1024/2020 (ΦΕΚ 317Β/6-2-2020) «Συμπληρωματικές τεχνικές προδιαγραφές πρωτοκόλλου επικοινωνίας και κρυπτογράφησης για την διαβίβαση δεδομένων στο πληροφοριακό σύστημα των ΦΗΜ», ως ακολούθως:</w:t>
      </w:r>
    </w:p>
    <w:p>
      <w:pPr>
        <w:spacing w:before="240" w:after="240"/>
        <w:rPr>
          <w:lang w:val="el" w:eastAsia="el"/>
        </w:rPr>
      </w:pPr>
      <w:r>
        <w:rPr>
          <w:b/>
          <w:bCs/>
          <w:u w:val="single"/>
          <w:lang w:val="el" w:eastAsia="el"/>
        </w:rPr>
        <w:t>Η παράγραφος 6.3 του άρθρου 6 αντικαθίσταται ως εξής:</w:t>
      </w:r>
    </w:p>
    <w:p>
      <w:pPr>
        <w:spacing w:before="240" w:after="240"/>
        <w:rPr>
          <w:lang w:val="el" w:eastAsia="el"/>
        </w:rPr>
      </w:pPr>
      <w:r>
        <w:rPr>
          <w:b/>
          <w:bCs/>
          <w:u w:val="single"/>
          <w:lang w:val="el" w:eastAsia="el"/>
        </w:rPr>
        <w:t>«6.3. α. Οι συμπληρωματικές τεχνικές προδιαγραφές της παρούσας Απόφασης λαμβάνονται υπόψη στον εργαστηριακό έλεγχο, προκειμένου να εκδοθεί άδεια καταλληλότητας σε νέο μοντέλο ΦΗΜ.</w:t>
      </w:r>
    </w:p>
    <w:p>
      <w:pPr>
        <w:spacing w:before="240" w:after="240"/>
        <w:rPr>
          <w:lang w:val="el" w:eastAsia="el"/>
        </w:rPr>
      </w:pPr>
      <w:r>
        <w:rPr>
          <w:b/>
          <w:bCs/>
          <w:u w:val="single"/>
          <w:lang w:val="el" w:eastAsia="el"/>
        </w:rPr>
        <w:t xml:space="preserve">β. Με εξαίρεση τις ΑΔΗΜΕ ταξιμέτρου, οι υπάρχοντες ενεργοί ΦΗΜ υποχρεούνται σε αναβάθμιση σύμφωνα με τα οριζόμενα στην παρούσα μέχρι </w:t>
      </w:r>
      <w:r>
        <w:rPr>
          <w:b/>
          <w:bCs/>
          <w:u w:val="single"/>
          <w:lang w:val="el" w:eastAsia="el"/>
        </w:rPr>
        <w:t>31/7/2020</w:t>
      </w:r>
      <w:r>
        <w:rPr>
          <w:b/>
          <w:bCs/>
          <w:u w:val="single"/>
          <w:lang w:val="el" w:eastAsia="el"/>
        </w:rPr>
        <w:t>..</w:t>
      </w:r>
    </w:p>
    <w:p>
      <w:pPr>
        <w:spacing w:before="240" w:after="240"/>
        <w:rPr>
          <w:lang w:val="el" w:eastAsia="el"/>
        </w:rPr>
      </w:pPr>
      <w:r>
        <w:rPr>
          <w:b/>
          <w:bCs/>
          <w:u w:val="single"/>
          <w:lang w:val="el" w:eastAsia="el"/>
        </w:rPr>
        <w:t>γ. Για την εφαρμογή της προϋπόθεσης του άρθρου 2.4. της Απόφασης ΓΓΔΕ ΠΟΛ 1068/14-2015 (Β’497), σε σχέση με τις συμπληρωματικές τεχνικές προδιαγραφές της παρούσας Απόφασης, λαμβάνονται υπόψη τόσο οι εκκρεμείς κατά την έναρξη ισχύος της παρούσας αιτήσεις κατασκευαστών νέων μοντέλων ΦΗΜ, όσο και οι κατασκευαστές για τους οποίους έχουν ήδη εγκριθεί ή εγκρίνονται αναβαθμισμένα μοντέλα ΦΗΜ σύμφωνα με τις προδιαγραφές της παρούσας.</w:t>
      </w:r>
    </w:p>
    <w:p>
      <w:pPr>
        <w:spacing w:before="240" w:after="240"/>
        <w:rPr>
          <w:lang w:val="el" w:eastAsia="el"/>
        </w:rPr>
      </w:pPr>
      <w:r>
        <w:rPr>
          <w:b/>
          <w:bCs/>
          <w:u w:val="single"/>
          <w:lang w:val="el" w:eastAsia="el"/>
        </w:rPr>
        <w:t>δ. Με την πλήρωση της προϋπόθεσης του άρθρου 2.4. της Απόφασης ΓΓΔΕ ΠΟΛ 1068/14-2015 (Β’497), δεν επιτρέπονται πωλήσεις μη αναβαθμισμένων ΦΗΜ, με εξαίρεση τις ΑΔΗΜΕ ταξιμέτρου.»</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Διοικητής της Ανεξάρτητης Αρχής Δημοσίων Εσόδων</w:t>
      </w:r>
    </w:p>
    <w:p>
      <w:pPr>
        <w:spacing w:before="240" w:after="240"/>
        <w:rPr>
          <w:lang w:val="el" w:eastAsia="el"/>
        </w:rPr>
      </w:pPr>
      <w:r>
        <w:rPr>
          <w:b/>
          <w:bCs/>
          <w:u w:val="single"/>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ΑΠΟΔΕΚΤΕΣ ΓΙΑ ΕΝΕΡΓΕΙΑ</w:t>
      </w:r>
    </w:p>
    <w:p>
      <w:pPr>
        <w:spacing w:before="240" w:after="240"/>
        <w:rPr>
          <w:lang w:val="el" w:eastAsia="el"/>
        </w:rPr>
      </w:pPr>
      <w:r>
        <w:rPr>
          <w:b/>
          <w:bCs/>
          <w:u w:val="single"/>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u w:val="single"/>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u w:val="single"/>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u w:val="single"/>
          <w:lang w:val="el" w:eastAsia="el"/>
        </w:rPr>
        <w:t>4. ΔΙ.Σ.ΤΕ.ΠΛ.(με την παράκληση ανάρτησης στην ιστοσελίδα της Α.Α.Δ.Ε.)</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spacing w:before="240" w:after="240"/>
        <w:rPr>
          <w:lang w:val="el" w:eastAsia="el"/>
        </w:rPr>
      </w:pPr>
      <w:r>
        <w:rPr>
          <w:b/>
          <w:bCs/>
          <w:u w:val="single"/>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u w:val="single"/>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u w:val="single"/>
          <w:lang w:val="el" w:eastAsia="el"/>
        </w:rPr>
        <w:t>3.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Ειδικού Γραμματέα Σ.Δ.Ο.Ε.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Κεντρική Υπηρεσία Σ.Δ.Ο.Ε. και Περιφερειακές Δ/νσεις.</w:t>
      </w:r>
    </w:p>
    <w:p>
      <w:pPr>
        <w:spacing w:before="240" w:after="240"/>
        <w:rPr>
          <w:lang w:val="el" w:eastAsia="el"/>
        </w:rPr>
      </w:pPr>
      <w:r>
        <w:rPr>
          <w:b/>
          <w:bCs/>
          <w:u w:val="single"/>
          <w:lang w:val="el" w:eastAsia="el"/>
        </w:rPr>
        <w:t>4. Ανεξάρτητη Αρχή Δημοσίων Εσόδων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Φορολογικές Περιφέρειες: Αθηνών, Πειραιώς, Θεσσαλονίκης, Πατρών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ΔΙ.Π.Α.Ε.Ε.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Όλες οι Υ.Ε.Δ.Δ.Ε.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Δ.Α.Φ.Ε.</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Όλες οι Δ.Ο.Υ.</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spacing w:before="240" w:after="240"/>
        <w:rPr>
          <w:lang w:val="el" w:eastAsia="el"/>
        </w:rPr>
      </w:pPr>
      <w:r>
        <w:rPr>
          <w:b/>
          <w:bCs/>
          <w:u w:val="single"/>
          <w:lang w:val="el" w:eastAsia="el"/>
        </w:rPr>
        <w:t>1. Γραφείο κου Διοικητή της Α.Α.Δ.Ε.</w:t>
      </w:r>
    </w:p>
    <w:p>
      <w:pPr>
        <w:spacing w:before="240" w:after="240"/>
        <w:rPr>
          <w:lang w:val="el" w:eastAsia="el"/>
        </w:rPr>
      </w:pPr>
      <w:r>
        <w:rPr>
          <w:b/>
          <w:bCs/>
          <w:u w:val="single"/>
          <w:lang w:val="el" w:eastAsia="el"/>
        </w:rPr>
        <w:t>2. Προϊσταμένους των Γενικών Διευθύνσεων της Α.Α.Δ.Ε.</w:t>
      </w:r>
    </w:p>
    <w:p>
      <w:pPr>
        <w:spacing w:before="240" w:after="240"/>
        <w:rPr>
          <w:lang w:val="el" w:eastAsia="el"/>
        </w:rPr>
      </w:pPr>
      <w:r>
        <w:rPr>
          <w:b/>
          <w:bCs/>
          <w:u w:val="single"/>
          <w:lang w:val="el" w:eastAsia="el"/>
        </w:rPr>
        <w:t>3. Διευθύνσεις της Γενικής Διεύθυνσης Φορολογικής Διοίκησης</w:t>
      </w:r>
    </w:p>
    <w:p>
      <w:pPr>
        <w:spacing w:before="240" w:after="240"/>
        <w:rPr>
          <w:lang w:val="el" w:eastAsia="el"/>
        </w:rPr>
      </w:pPr>
      <w:r>
        <w:rPr>
          <w:b/>
          <w:bCs/>
          <w:u w:val="single"/>
          <w:lang w:val="el" w:eastAsia="el"/>
        </w:rPr>
        <w:t>4. Διεύθυνση Διαχείρισης Υποδομών</w:t>
      </w:r>
    </w:p>
    <w:p>
      <w:pPr>
        <w:spacing w:before="240" w:after="240"/>
        <w:rPr>
          <w:lang w:val="el" w:eastAsia="el"/>
        </w:rPr>
      </w:pPr>
      <w:r>
        <w:rPr>
          <w:b/>
          <w:bCs/>
          <w:u w:val="single"/>
          <w:lang w:val="el" w:eastAsia="el"/>
        </w:rPr>
        <w:t>5. Αυτοτελές Tμήμα Ασφάλειας Γ.Δ.ΗΛΕ.Δ.</w:t>
      </w:r>
    </w:p>
    <w:p>
      <w:pPr>
        <w:spacing w:before="240" w:after="240"/>
        <w:rPr>
          <w:lang w:val="el" w:eastAsia="el"/>
        </w:rPr>
      </w:pPr>
      <w:r>
        <w:rPr>
          <w:b/>
          <w:bCs/>
          <w:u w:val="single"/>
          <w:lang w:val="el" w:eastAsia="el"/>
        </w:rPr>
        <w:t>6. Διεύθυνση Νομικής Υποστήριξης</w:t>
      </w:r>
    </w:p>
    <w:p>
      <w:pPr>
        <w:spacing w:before="240" w:after="240"/>
        <w:rPr>
          <w:lang w:val="el" w:eastAsia="el"/>
        </w:rPr>
      </w:pPr>
      <w:r>
        <w:rPr>
          <w:b/>
          <w:bCs/>
          <w:u w:val="single"/>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avrid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