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94</w:t>
      </w:r>
    </w:p>
    <w:p>
      <w:pPr>
        <w:pStyle w:val="PreambelText"/>
        <w:spacing w:before="240" w:after="240"/>
        <w:rPr>
          <w:lang w:val="el" w:eastAsia="el"/>
        </w:rPr>
      </w:pPr>
      <w:r>
        <w:rPr>
          <w:b/>
          <w:bCs/>
          <w:lang w:val="el" w:eastAsia="el"/>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του Μέρους Α’ της από 30.3.2020 Πράξης Νομοθετικού Περιεχομένου «Μέτρα αντιμετώπισης της πανδημίας του κορωνοϊού COVID-19 και άλλες κατεπείγουσες διατάξεις» (Α’75), όπως αυτή κυρώθηκε με το άρθρο 1 του ν. 4684/2020 (Α’86), όπως αυτό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και ειδικότερα της παρ. 3 αυτού,</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κανονισμό (ΕΕ) αριθ. 1407/2013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 της 24.12.2013),</w:t>
      </w:r>
    </w:p>
    <w:p>
      <w:pPr>
        <w:pStyle w:val="PreambelText"/>
        <w:spacing w:before="240" w:after="240"/>
        <w:rPr>
          <w:lang w:val="el" w:eastAsia="el"/>
        </w:rPr>
      </w:pPr>
      <w:r>
        <w:rPr>
          <w:lang w:val="el" w:eastAsia="el"/>
        </w:rPr>
        <w:t>4. τον κανονισμό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187/26.6.2014),</w:t>
      </w:r>
    </w:p>
    <w:p>
      <w:pPr>
        <w:pStyle w:val="PreambelText"/>
        <w:spacing w:before="240" w:after="240"/>
        <w:rPr>
          <w:lang w:val="el" w:eastAsia="el"/>
        </w:rPr>
      </w:pPr>
      <w:r>
        <w:rPr>
          <w:lang w:val="el" w:eastAsia="el"/>
        </w:rPr>
        <w:t>5. τον κανονισμό (ΕΕ) αριθ. 1301/2013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1080/2006,όπως τροποποιήθηκε με τον κανονισμό (ΕΕ) αριθ. 460/2020 και ειδικότερα την τροποποίηση του άρθρου 3 παρ. 1 του κανονισμού 1301/2013,</w:t>
      </w:r>
    </w:p>
    <w:p>
      <w:pPr>
        <w:pStyle w:val="PreambelText"/>
        <w:spacing w:before="240" w:after="240"/>
        <w:rPr>
          <w:lang w:val="el" w:eastAsia="el"/>
        </w:rPr>
      </w:pPr>
      <w:r>
        <w:rPr>
          <w:lang w:val="el" w:eastAsia="el"/>
        </w:rPr>
        <w:t>6. 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τροποποιήθηκε και ισχύει,</w:t>
      </w:r>
    </w:p>
    <w:p>
      <w:pPr>
        <w:pStyle w:val="PreambelText"/>
        <w:spacing w:before="240" w:after="240"/>
        <w:rPr>
          <w:lang w:val="el" w:eastAsia="el"/>
        </w:rPr>
      </w:pPr>
      <w:r>
        <w:rPr>
          <w:lang w:val="el" w:eastAsia="el"/>
        </w:rPr>
        <w:t>7. την ανακοίνωση της Ευρωπαϊκής Επιτροπής (ΕΕ) αριθ. C(2020) 1863/19.03.2020 «Προσωρινό πλαίσιο για τη λήψη μέτρων κρατικής ενίσχυσης με σκοπό να στηριχθεί η οικονομία κατά τη διάρκεια της τρέχουσας έξαρσης της νόσου COVID-19», όπως τροποποιήθηκε με την ανακοίνωση της ΕΕ αριθ. C(2020)2215/3.4.2020, 8. την εγκριτική απόφαση αριθ. C(2020) 2281/7.04.2020 της Ευρωπαϊκής Επιτροπής,</w:t>
      </w:r>
    </w:p>
    <w:p>
      <w:pPr>
        <w:pStyle w:val="PreambelText"/>
        <w:spacing w:before="240" w:after="240"/>
        <w:rPr>
          <w:lang w:val="el" w:eastAsia="el"/>
        </w:rPr>
      </w:pPr>
      <w:r>
        <w:rPr>
          <w:lang w:val="el" w:eastAsia="el"/>
        </w:rPr>
        <w:t>9. τις διατάξεις του ν. 4314/2014 «Α) για τη διαχείριση, τον έλεγχο και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(E E L 156/16.6.2012), στο ελληνικό δίκαιο, τροποποίηση του ν. 3419/2005 και άλλες διατάξεις» (Α’265), όπως τροποποιήθηκε και ισχύει,</w:t>
      </w:r>
    </w:p>
    <w:p>
      <w:pPr>
        <w:pStyle w:val="PreambelText"/>
        <w:spacing w:before="240" w:after="240"/>
        <w:rPr>
          <w:lang w:val="el" w:eastAsia="el"/>
        </w:rPr>
      </w:pPr>
      <w:r>
        <w:rPr>
          <w:lang w:val="el" w:eastAsia="el"/>
        </w:rPr>
        <w:t>10. τις διατάξεις του ν. 4270/2014 «Αρχές δημοσιονομικής διαχείρισης και εποπτείας (ενσωμάτωση της Οδηγίας 2011/85/ΕΕ) – δημόσιο λογιστικό και άλλες διατάξεις» (Α’143) και ειδικότερα τα άρθρα 23, 56, 78, 79 και 80,</w:t>
      </w:r>
    </w:p>
    <w:p>
      <w:pPr>
        <w:pStyle w:val="PreambelText"/>
        <w:spacing w:before="240" w:after="240"/>
        <w:rPr>
          <w:lang w:val="el" w:eastAsia="el"/>
        </w:rPr>
      </w:pPr>
      <w:r>
        <w:rPr>
          <w:lang w:val="el" w:eastAsia="el"/>
        </w:rPr>
        <w:t>11. τις διατάξεις του της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12. τις διατάξεις του ν.3861/2010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13. τις διατάξεις του ν.δ. 356/1974 Κ.Ε.Δ.Ε. (Α’90), όπως ισχύουν,</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16.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17. το π.δ. 142/2017 «Οργανισμός Υπουργείου Οικονομικών» (Α’181),</w:t>
      </w:r>
    </w:p>
    <w:p>
      <w:pPr>
        <w:pStyle w:val="PreambelText"/>
        <w:spacing w:before="240" w:after="240"/>
        <w:rPr>
          <w:lang w:val="el" w:eastAsia="el"/>
        </w:rPr>
      </w:pPr>
      <w:r>
        <w:rPr>
          <w:lang w:val="el" w:eastAsia="el"/>
        </w:rPr>
        <w:t>18. το π.δ. 147/2017 «Οργανισμός του Υπουργείου Οικονομίας και Ανάπτυξης» (Α’192),</w:t>
      </w:r>
    </w:p>
    <w:p>
      <w:pPr>
        <w:pStyle w:val="PreambelText"/>
        <w:spacing w:before="240" w:after="240"/>
        <w:rPr>
          <w:lang w:val="el" w:eastAsia="el"/>
        </w:rPr>
      </w:pPr>
      <w:r>
        <w:rPr>
          <w:lang w:val="el" w:eastAsia="el"/>
        </w:rPr>
        <w:t>19. το π.δ. 80/2016 «Ανάληψη υποχρεώσεων από τους διατάκτες» (Α’145),</w:t>
      </w:r>
    </w:p>
    <w:p>
      <w:pPr>
        <w:pStyle w:val="PreambelText"/>
        <w:spacing w:before="240" w:after="240"/>
        <w:rPr>
          <w:lang w:val="el" w:eastAsia="el"/>
        </w:rPr>
      </w:pPr>
      <w:r>
        <w:rPr>
          <w:lang w:val="el" w:eastAsia="el"/>
        </w:rPr>
        <w:t>20.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21. την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22. την 339/18.7.2019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23. την 340/26.7.2019 απόφαση του Πρωθυπουργού και του Υπουργού Οικονομικών «Ανάθεση αρμοδιοτήτων στον Υφυπουργό Οικονομικών, Θεόδωρο Σκυλακάκη» (Β’3051),</w:t>
      </w:r>
    </w:p>
    <w:p>
      <w:pPr>
        <w:pStyle w:val="PreambelText"/>
        <w:spacing w:before="240" w:after="240"/>
        <w:rPr>
          <w:lang w:val="el" w:eastAsia="el"/>
        </w:rPr>
      </w:pPr>
      <w:r>
        <w:rPr>
          <w:lang w:val="el" w:eastAsia="el"/>
        </w:rPr>
        <w:t>24. την 47/18.07.2019 απόφαση του Πρωθυπουργού και του Υπουργού Ανάπτυξης και Επενδύσεων «Ανάθεση αρμοδιοτήτων στον Υφυπουργό Ανάπτυξης και Επενδύσεων, Ιωάννη Τσακίρη» (Β’ 3100) και ιδίως το τελευταίο εδάφιο του άρθρου 2 αυτής,</w:t>
      </w:r>
    </w:p>
    <w:p>
      <w:pPr>
        <w:pStyle w:val="PreambelText"/>
        <w:spacing w:before="240" w:after="240"/>
        <w:rPr>
          <w:lang w:val="el" w:eastAsia="el"/>
        </w:rPr>
      </w:pPr>
      <w:r>
        <w:rPr>
          <w:lang w:val="el" w:eastAsia="el"/>
        </w:rPr>
        <w:t>25. την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39/3/30-11-2017 (Υ.Ο.Δ.Δ. 689) απόφαση του Συμβουλίου Διοίκησης της Α.Α.Δ.Ε. «Ανανέωσης θητείας του Διοικητή της Ανεξάρτητης Αρχής Δημοσίων Εσόδων» καθώς και την 5294/2020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26. την Α.1076/2.4.2020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τροποποιήθηκε με τις Α.1080/9.4.2020 (Β’1294) και Α.1091/13.4.2020 (Β’1466) όμοιες αποφάσεις,</w:t>
      </w:r>
    </w:p>
    <w:p>
      <w:pPr>
        <w:pStyle w:val="PreambelText"/>
        <w:spacing w:before="240" w:after="240"/>
        <w:rPr>
          <w:lang w:val="el" w:eastAsia="el"/>
        </w:rPr>
      </w:pPr>
      <w:r>
        <w:rPr>
          <w:lang w:val="el" w:eastAsia="el"/>
        </w:rPr>
        <w:t>27. την 137675/EΥΘΥ 1016/19.12.2018 (Β’5968) απόφαση του Υφυπουργού Οικονομίας και Ανάπτυξης «Αντικατάσταση της 110427/EΥΘΥ/1020/ 20.10.2016 (ΦΕΚ Β’ 3521) υπουργικής απόφασης με τίτλο «Τροποποίηση και αντικατάσταση της 81986/ ΕΥΘΥ712/31.7.2015 (ΦΕΚ 1822 Β’)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ισχύει,</w:t>
      </w:r>
    </w:p>
    <w:p>
      <w:pPr>
        <w:pStyle w:val="PreambelText"/>
        <w:spacing w:before="240" w:after="240"/>
        <w:rPr>
          <w:lang w:val="el" w:eastAsia="el"/>
        </w:rPr>
      </w:pPr>
      <w:r>
        <w:rPr>
          <w:lang w:val="el" w:eastAsia="el"/>
        </w:rPr>
        <w:t>28. την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46274/26.9.2014, ΦΕΚ 2573/τ.Β’» (Β’2857),</w:t>
      </w:r>
    </w:p>
    <w:p>
      <w:pPr>
        <w:pStyle w:val="PreambelText"/>
        <w:spacing w:before="240" w:after="240"/>
        <w:rPr>
          <w:lang w:val="el" w:eastAsia="el"/>
        </w:rPr>
      </w:pPr>
      <w:r>
        <w:rPr>
          <w:lang w:val="el" w:eastAsia="el"/>
        </w:rPr>
        <w:t>29. την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 22 του ν. 4314/2014» (Β’2784),</w:t>
      </w:r>
    </w:p>
    <w:p>
      <w:pPr>
        <w:pStyle w:val="PreambelText"/>
        <w:spacing w:before="240" w:after="240"/>
        <w:rPr>
          <w:lang w:val="el" w:eastAsia="el"/>
        </w:rPr>
      </w:pPr>
      <w:r>
        <w:rPr>
          <w:lang w:val="el" w:eastAsia="el"/>
        </w:rPr>
        <w:t>30. τη με αριθμ. 42747 ΕΞ 2020/30.4.2020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31. το γεγονός ότι από τις διατάξεις της παρούσας απόφασης προκαλείται δαπάνη συνολικού ύψους ενός δισεκατομμυρίου (1.000.000.000) ευρώ, για το τρέχον οικονομικό έτος, σε βάρος του Προϋπολογισμού Δημοσίων Επενδύσεων του Υπουργείου Οικονομικών,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επιστρεπτέας προκαταβολής για ιδιωτικές επιχειρήσεις, ανεξαρτήτως κλάδου, που επλήγησαν οικονομικά λόγω της εμφάνισης και διάδοσης της νόσου του κορωνοϊού COVID-19 (COVID-19).</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είτε</w:t>
      </w:r>
    </w:p>
    <w:p>
      <w:pPr>
        <w:pStyle w:val="StructureList1"/>
        <w:spacing w:before="120" w:after="0"/>
        <w:rPr>
          <w:lang w:val="el" w:eastAsia="el"/>
        </w:rPr>
      </w:pPr>
      <w:r>
        <w:rPr>
          <w:lang w:val="el" w:eastAsia="el"/>
        </w:rPr>
        <w:t>α)</w:t>
      </w:r>
      <w:r>
        <w:rPr>
          <w:lang w:val="en" w:eastAsia="en"/>
        </w:rPr>
        <w:tab/>
      </w:r>
      <w:r>
        <w:rPr>
          <w:lang w:val="el" w:eastAsia="el"/>
        </w:rPr>
        <w:t>σύμφωνα με τους όρους της αριθ. C(2020) 1863/ 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τροποποιήθηκε με την ανακοίνωση της ΕΕ αριθ. C(2020)2215/3.4.2020 (Προσωρινό Πλαίσιο), είτε</w:t>
      </w:r>
    </w:p>
    <w:p>
      <w:pPr>
        <w:pStyle w:val="StructureList1"/>
        <w:spacing w:before="120" w:after="0"/>
        <w:rPr>
          <w:lang w:val="el" w:eastAsia="el"/>
        </w:rPr>
      </w:pPr>
      <w:r>
        <w:rPr>
          <w:lang w:val="el" w:eastAsia="el"/>
        </w:rPr>
        <w:t>β)</w:t>
      </w:r>
      <w:r>
        <w:rPr>
          <w:lang w:val="en" w:eastAsia="en"/>
        </w:rPr>
        <w:tab/>
      </w:r>
      <w:r>
        <w:rPr>
          <w:lang w:val="el" w:eastAsia="el"/>
        </w:rPr>
        <w:t>σύμφωνα με τους όρους του κανονισμού (ΕΕ) αριθ. 1407/2013 για τις ενισχύσεις ήσσονος σημασίας (Κανονισμός de minimis).</w:t>
      </w:r>
    </w:p>
    <w:p>
      <w:pPr>
        <w:pStyle w:val="MainText"/>
        <w:spacing w:before="120" w:after="0"/>
        <w:rPr>
          <w:lang w:val="el" w:eastAsia="el"/>
        </w:rPr>
      </w:pPr>
      <w:r>
        <w:rPr>
          <w:b/>
          <w:bCs/>
          <w:lang w:val="el" w:eastAsia="el"/>
        </w:rPr>
        <w:t>3.</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Επιστρεπτέα προκαταβολή: 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κανονισμού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Ειδικά για τους σκοπούς του ελέγχου της σώρευσης του άρθρου 5, καθώς και του ελέγχου της προϋπόθεσης του άρθρου 3 παρ. 3 περίπτ. α,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lang w:val="el" w:eastAsia="el"/>
        </w:rPr>
        <w:t xml:space="preserve"> Επιτόκιο αναφοράς: 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την τελευταίας αριθ. 2008/C 14/02 (C 14/6 της 19.1.2008), προσαυξημένο κατά 109 μονάδες βάσης.</w:t>
      </w:r>
    </w:p>
    <w:p>
      <w:pPr>
        <w:pStyle w:val="MainText"/>
        <w:spacing w:before="120" w:after="0"/>
        <w:rPr>
          <w:lang w:val="el" w:eastAsia="el"/>
        </w:rPr>
      </w:pPr>
      <w:r>
        <w:rPr>
          <w:b/>
          <w:bCs/>
          <w:lang w:val="el" w:eastAsia="el"/>
        </w:rPr>
        <w:t>5.</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αριθ. 104/2000,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lang w:val="el" w:eastAsia="el"/>
        </w:rPr>
        <w:t xml:space="preserve"> Τομείς αλιείας και υδατοκαλλιέργειας: οι τομείς που εμπίπτουν στον κανονισμό (ΕΚ) αριθ. 104/2000 του Συμβουλίου της 17ης Δεκεμβρίου 1999 για την κοινή οργάνωση των αγορών των προϊόντων αλιείας και υδατοκαλλιέργειας (EE L17/22 της 21.1.2000), και οι οποίοι αντιστοιχούν στους ΚΑΔ του Παραρτήματος IV το οποίο και αποτελεί αναπόσπαστο μέρος της παρούσας.</w:t>
      </w:r>
    </w:p>
    <w:p>
      <w:pPr>
        <w:pStyle w:val="MainText"/>
        <w:spacing w:before="120" w:after="0"/>
        <w:rPr>
          <w:lang w:val="el" w:eastAsia="el"/>
        </w:rPr>
      </w:pPr>
      <w:r>
        <w:rPr>
          <w:b/>
          <w:bCs/>
          <w:lang w:val="el" w:eastAsia="el"/>
        </w:rPr>
        <w:t>7.</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lang w:val="el" w:eastAsia="el"/>
        </w:rPr>
        <w:t xml:space="preserve"> Μικρομεσαίες Επιχειρήσεις (ΜΜΕ): Οι επιχειρήσεις που πληρούν τα κριτήρια που ορίζονται στο παράρτημα I του Καν. 651/2014.</w:t>
      </w:r>
    </w:p>
    <w:p>
      <w:pPr>
        <w:pStyle w:val="MainText"/>
        <w:spacing w:before="120" w:after="0"/>
        <w:rPr>
          <w:lang w:val="el" w:eastAsia="el"/>
        </w:rPr>
      </w:pPr>
      <w:r>
        <w:rPr>
          <w:b/>
          <w:bCs/>
          <w:lang w:val="el" w:eastAsia="el"/>
        </w:rPr>
        <w:t>10.</w:t>
      </w:r>
      <w:r>
        <w:rPr>
          <w:lang w:val="el" w:eastAsia="el"/>
        </w:rPr>
        <w:t xml:space="preserve"> Κύκλος εργασιών αναφοράς: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 και τηρούν απλογραφικά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ΦΠΑ (κωδικός 312 περιοδικής δήλωσης ΦΠΑ) το πρώτο τρίμηνο του έτους 2017, το πρώτο τρίμηνο του έτους 2018 και το πρώτο τρίμηνο του έτους 2019, ως ο αριθμητικός μέσος όρος του κύκλου εργασιών πρώτου τριμήνου των τριών τελευταίων ετών,</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θετικό κύκλο εργασιών το πρώτο τρίμηνο του έτους 2017 και έχει θετικό κύκλο εργασιών το πρώτο τρίμηνο του έτους 2018 και το πρώτο τρίμηνο του έτους 2019, ως ο αριθμητικός μέσος όρος του κύκλου εργασιών πρώτου τριμήνου των δύο τελευταίων ετών,</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θετικό κύκλο εργασιών το πρώτο τρίμηνο του έτους 2018 και έχει θετικό κύκλο εργασιών το πρώτο τρίμηνο του έτους 2019, ως ο κύκλος εργασιών του πρώτου τριμήνου του έτους 2019,</w:t>
      </w:r>
    </w:p>
    <w:p>
      <w:pPr>
        <w:pStyle w:val="StructureList1"/>
        <w:spacing w:before="120" w:after="0"/>
        <w:rPr>
          <w:lang w:val="el" w:eastAsia="el"/>
        </w:rPr>
      </w:pPr>
      <w:r>
        <w:rPr>
          <w:lang w:val="el" w:eastAsia="el"/>
        </w:rPr>
        <w:t>δδ)</w:t>
      </w:r>
      <w:r>
        <w:rPr>
          <w:lang w:val="en" w:eastAsia="en"/>
        </w:rPr>
        <w:tab/>
      </w:r>
      <w:r>
        <w:rPr>
          <w:lang w:val="el" w:eastAsia="el"/>
        </w:rPr>
        <w:t>σε περίπτωση που η επιχείρηση δεν έχει θετικό κύκλο εργασιών το πρώτο τρίμηνο του έτους 2019 και έχει θετικό κύκλο εργασιών το τέταρτο τρίμηνο του έτους 2019, ως ο κύκλος εργασιών του τέταρτου τριμήνου του έτους 2019,</w:t>
      </w:r>
    </w:p>
    <w:p>
      <w:pPr>
        <w:pStyle w:val="StructureList1"/>
        <w:spacing w:before="120" w:after="0"/>
        <w:rPr>
          <w:lang w:val="el" w:eastAsia="el"/>
        </w:rPr>
      </w:pPr>
      <w:r>
        <w:rPr>
          <w:lang w:val="el" w:eastAsia="el"/>
        </w:rPr>
        <w:t>εε)</w:t>
      </w:r>
      <w:r>
        <w:rPr>
          <w:lang w:val="en" w:eastAsia="en"/>
        </w:rPr>
        <w:tab/>
      </w:r>
      <w:r>
        <w:rPr>
          <w:lang w:val="el" w:eastAsia="el"/>
        </w:rPr>
        <w:t>σε περίπτωση που η επιχείρηση δεν έχει θετικό κύκλο εργασιών το πρώτο τρίμηνο του έτους 2019 και το τέταρτο τρίμηνο του έτους 2019, ως ο συνολικός κύκλος εργασιών του έτους 2019, διαιρεμένος με τέσσερα (ώστε να προκύψει σε τριμηνιαία βάση),</w:t>
      </w:r>
    </w:p>
    <w:p>
      <w:pPr>
        <w:pStyle w:val="StructureList1"/>
        <w:spacing w:before="120" w:after="0"/>
        <w:rPr>
          <w:lang w:val="el" w:eastAsia="el"/>
        </w:rPr>
      </w:pPr>
      <w:r>
        <w:rPr>
          <w:lang w:val="el" w:eastAsia="el"/>
        </w:rPr>
        <w:t>στστ)</w:t>
      </w:r>
      <w:r>
        <w:rPr>
          <w:lang w:val="en" w:eastAsia="en"/>
        </w:rPr>
        <w:tab/>
      </w:r>
      <w:r>
        <w:rPr>
          <w:lang w:val="el" w:eastAsia="el"/>
        </w:rPr>
        <w:t>σε περίπτωση μη θετικού κύκλου εργασιών ολόκληρο το έτος 2019, ο κύκλος εργασιών αναφοράς ισούται με μηδέν.</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είναι υποκείμενες σε ΦΠΑ και τηρούν διπλογραφικά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τον μήνα Μάρτιο του έτους 2017, τον μήνα Μάρτιο του έτους 2018 και τον μήνα Μάρτιο του έτους 2019, ως ο αριθμητικός μέσος όρος του κύκλου εργασιών του μήνα Μαρτίου των τριών τελευταίων ετών,</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θετικό κύκλο εργασιών τον μήνα Μάρτιο του έτους 2017 και έχει θετικό κύκλο εργασιών τον μήνα Μάρτιο του έτους 2018 και τον μήνα Μάρτιο του έτους 2019, ως ο αριθμητικός μέσος όρος του κύκλου εργασιών του μήνα Μαρτίου των δύο τελευταίων ετών,</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θετικό κύκλο εργασιών τον μήνα Μάρτιο του έτους 2018 και έχει θετικό κύκλο εργασιών τον μήνα Μάρτιο του έτους 2019, ως ο κύκλος εργασιών του μήνα Μαρτίου του έτους 2019, δδ) σε περίπτωση που η επιχείρηση δεν έχει θετικό κύκλο εργασιών τον μήνα Μάρτιο του έτους 2019 και έχει θετικό κύκλο εργασιών τον μήνα Φεβρουάριο του 2020, ως ο κύκλος εργασιών του μηνός Φεβρουαρίου του 2020,</w:t>
      </w:r>
    </w:p>
    <w:p>
      <w:pPr>
        <w:pStyle w:val="StructureList1"/>
        <w:spacing w:before="120" w:after="0"/>
        <w:rPr>
          <w:lang w:val="el" w:eastAsia="el"/>
        </w:rPr>
      </w:pPr>
      <w:r>
        <w:rPr>
          <w:lang w:val="el" w:eastAsia="el"/>
        </w:rPr>
        <w:t>εε)</w:t>
      </w:r>
      <w:r>
        <w:rPr>
          <w:lang w:val="en" w:eastAsia="en"/>
        </w:rPr>
        <w:tab/>
      </w:r>
      <w:r>
        <w:rPr>
          <w:lang w:val="el" w:eastAsia="el"/>
        </w:rPr>
        <w:t>σε περίπτωση που η επιχείρηση δεν έχει θετικό κύκλο εργασιών τον μήνα Μάρτιο του έτους 2019 και τον μήνα Φεβρουάριο του 2020, ως ο συνολικός κύκλος εργασιών του έτους 2019, διαιρεμένος με δώδεκα (ώστε να προκύψει σε μηνιαία βάση),</w:t>
      </w:r>
    </w:p>
    <w:p>
      <w:pPr>
        <w:pStyle w:val="StructureList1"/>
        <w:spacing w:before="120" w:after="0"/>
        <w:rPr>
          <w:lang w:val="el" w:eastAsia="el"/>
        </w:rPr>
      </w:pPr>
      <w:r>
        <w:rPr>
          <w:lang w:val="el" w:eastAsia="el"/>
        </w:rPr>
        <w:t>στστ)</w:t>
      </w:r>
      <w:r>
        <w:rPr>
          <w:lang w:val="en" w:eastAsia="en"/>
        </w:rPr>
        <w:tab/>
      </w:r>
      <w:r>
        <w:rPr>
          <w:lang w:val="el" w:eastAsia="el"/>
        </w:rPr>
        <w:t>σε περίπτωση μη θετικού κύκλου εργασιών ολόκληρο το έτος 2019 και τον μήνα Φεβρουάριο του 2020, ο κύκλος εργασιών αναφοράς ισούται με μηδέν.</w:t>
      </w:r>
    </w:p>
    <w:p>
      <w:pPr>
        <w:pStyle w:val="MainText"/>
        <w:spacing w:before="120" w:after="0"/>
        <w:rPr>
          <w:lang w:val="el" w:eastAsia="el"/>
        </w:rPr>
      </w:pPr>
      <w:r>
        <w:rPr>
          <w:b/>
          <w:bCs/>
          <w:lang w:val="el" w:eastAsia="el"/>
        </w:rPr>
        <w:t>11.</w:t>
      </w:r>
      <w:r>
        <w:rPr>
          <w:lang w:val="el" w:eastAsia="el"/>
        </w:rPr>
        <w:t xml:space="preserve"> Ακαθάριστα έσοδα αναφοράς: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 και τηρούν απλογραφικά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θετικά ακαθάριστα έσοδα (κωδικός 047 δήλωσης Ε3) τα έτη 2017, 2018 και 2019, ως ο αριθμητικός μέσος όρος των ακαθάριστων εσόδων των τριών τελευταίων ετών, διαιρεμένος με τέσσερα (ώστε να προκύψει σε τριμηνιαία βάση),</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θετικά ακαθάριστα έσοδα το έτος 2017 και έχει θετικά ακαθάριστα έσοδα τα έτη 2018 και 2019, ως ο αριθμητικός μέσος όρος των ακαθάριστων εσόδων των δύο τελευταίων ετών, διαιρεμένος με τέσσερα (ώστε να προκύψει σε τριμηνιαία βάση),</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θετικά ακαθάριστα έσοδα το έτος 2018 και έχει θετικά ακαθάριστα έσοδα το έτος 2019, ως τα ακαθάριστα έσοδα του 2019, διαιρεμένα με τέσσερα (ώστε να προκύψει σε τριμηνιαία βάση),</w:t>
      </w:r>
    </w:p>
    <w:p>
      <w:pPr>
        <w:pStyle w:val="StructureList1"/>
        <w:spacing w:before="120" w:after="0"/>
        <w:rPr>
          <w:lang w:val="el" w:eastAsia="el"/>
        </w:rPr>
      </w:pPr>
      <w:r>
        <w:rPr>
          <w:lang w:val="el" w:eastAsia="el"/>
        </w:rPr>
        <w:t>δδ)</w:t>
      </w:r>
      <w:r>
        <w:rPr>
          <w:lang w:val="en" w:eastAsia="en"/>
        </w:rPr>
        <w:tab/>
      </w:r>
      <w:r>
        <w:rPr>
          <w:lang w:val="el" w:eastAsia="el"/>
        </w:rPr>
        <w:t>σε περίπτωση μη θετικών εσόδων κατά το έτος 2019, τα ακαθάριστα έσοδα αναφοράς ισούνται με μηδέν.</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 και τηρούν διπλογραφικά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θετικά ακαθάριστα έσοδα τα έτη 2017, 2018 και 2019, ως ο αριθμητικός μέσος όρος των ακαθάριστων εσόδων των τριών τελευταίων ετών, διαιρεμένος με δώδεκα (ώστε να προκύψει σε μηνιαία βάση),</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θετικά ακαθάριστα έσοδα το έτος 2017 και έχει θετικά ακαθάριστα έσοδα τα έτη 2018 και 2019, ως ο αριθμητικός μέσος όρος των ακαθάριστων εσόδων των δύο τελευταίων ετών, διαιρεμένος με δώδεκα (ώστε να προκύψει σε μηνιαία βάση),</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θετικά ακαθάριστα έσοδα το έτος 2018 και έχει θετικά ακαθάριστα έσοδα το έτος 2019, ως τα ακαθάριστα έσοδα του 2019, διαιρεμένα με δώδεκα (ώστε να προκύψει σε μηνιαία βάση),</w:t>
      </w:r>
    </w:p>
    <w:p>
      <w:pPr>
        <w:pStyle w:val="StructureList1"/>
        <w:spacing w:before="120" w:after="0"/>
        <w:rPr>
          <w:lang w:val="el" w:eastAsia="el"/>
        </w:rPr>
      </w:pPr>
      <w:r>
        <w:rPr>
          <w:lang w:val="el" w:eastAsia="el"/>
        </w:rPr>
        <w:t>δδ)</w:t>
      </w:r>
      <w:r>
        <w:rPr>
          <w:lang w:val="en" w:eastAsia="en"/>
        </w:rPr>
        <w:tab/>
      </w:r>
      <w:r>
        <w:rPr>
          <w:lang w:val="el" w:eastAsia="el"/>
        </w:rPr>
        <w:t>σε περίπτωση μη θετικών εσόδων κατά το έτος 2019, τα ακαθάριστα έσοδα αναφοράς ισούνται με τα ακαθάριστα έσοδα του μηνός Φεβρουαρίου 2020, όπως αυτά έχουν δηλωθεί στην ειδική πλατφόρμα «myBusinessSupport»,</w:t>
      </w:r>
    </w:p>
    <w:p>
      <w:pPr>
        <w:pStyle w:val="StructureList1"/>
        <w:spacing w:before="120" w:after="0"/>
        <w:rPr>
          <w:lang w:val="el" w:eastAsia="el"/>
        </w:rPr>
      </w:pPr>
      <w:r>
        <w:rPr>
          <w:lang w:val="el" w:eastAsia="el"/>
        </w:rPr>
        <w:t>εε)</w:t>
      </w:r>
      <w:r>
        <w:rPr>
          <w:lang w:val="en" w:eastAsia="en"/>
        </w:rPr>
        <w:tab/>
      </w:r>
      <w:r>
        <w:rPr>
          <w:lang w:val="el" w:eastAsia="el"/>
        </w:rPr>
        <w:t>σε περίπτωση μη θετικών εσόδων κατά το έτος 2019 και τον μήνα Φεβρουάριο του 2020, τα ακαθάριστα έσοδα αναφοράς ισούνται με μηδέν.</w:t>
      </w:r>
    </w:p>
    <w:p>
      <w:pPr>
        <w:pStyle w:val="MainText"/>
        <w:spacing w:before="120" w:after="0"/>
        <w:rPr>
          <w:lang w:val="el" w:eastAsia="el"/>
        </w:rPr>
      </w:pPr>
      <w:r>
        <w:rPr>
          <w:b/>
          <w:bCs/>
          <w:lang w:val="el" w:eastAsia="el"/>
        </w:rPr>
        <w:t>12.</w:t>
      </w:r>
      <w:r>
        <w:rPr>
          <w:lang w:val="el" w:eastAsia="el"/>
        </w:rPr>
        <w:t xml:space="preserve"> Για τους σκοπούς εφαρμογής της παρούσας απόφασης, λαμβάνονται τα οικονομικά δεδομένα που δηλώθηκαν από τις επιχειρήσεις στην αίτηση εκδήλωσης ενδιαφέροντος της Α.1076/2.4.2020 (Β’1135) απόφασης των Υπουργών Οικονομικών και Ανάπτυξης και Επενδύσεων. Ως προς τα λοιπά δεδομένα εισοδήματος και ΦΠΑ, λαμβάνονται αυτά που έχουν δηλωθεί από τις επιχειρήσεις μέχρι και την έναρξη ισχύος της παρούσας απόφασης.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w:t>
      </w:r>
    </w:p>
    <w:p>
      <w:pPr>
        <w:pStyle w:val="StructureList1"/>
        <w:spacing w:before="120" w:after="0"/>
        <w:rPr>
          <w:lang w:val="el" w:eastAsia="el"/>
        </w:rPr>
      </w:pPr>
      <w:r>
        <w:rPr>
          <w:lang w:val="el" w:eastAsia="el"/>
        </w:rPr>
        <w:t>α)</w:t>
      </w:r>
      <w:r>
        <w:rPr>
          <w:lang w:val="en" w:eastAsia="en"/>
        </w:rPr>
        <w:tab/>
      </w:r>
      <w:r>
        <w:rPr>
          <w:lang w:val="el" w:eastAsia="el"/>
        </w:rPr>
        <w:t>ιδιωτικές επιχειρήσεις κάθε νομικής μορφής, συμπεριλαμβανόμενων των ατομικών, ανεξαρτήτως κλάδου, οι οποίες απασχολούσαν έναν (1) έως πεντακόσιους (500) εργαζόμενους, κατά την 31η Μαρτίου 2020 ή</w:t>
      </w:r>
    </w:p>
    <w:p>
      <w:pPr>
        <w:pStyle w:val="StructureList1"/>
        <w:spacing w:before="120" w:after="0"/>
        <w:rPr>
          <w:lang w:val="el" w:eastAsia="el"/>
        </w:rPr>
      </w:pPr>
      <w:r>
        <w:rPr>
          <w:lang w:val="el" w:eastAsia="el"/>
        </w:rPr>
        <w:t>β)</w:t>
      </w:r>
      <w:r>
        <w:rPr>
          <w:lang w:val="en" w:eastAsia="en"/>
        </w:rPr>
        <w:tab/>
      </w:r>
      <w:r>
        <w:rPr>
          <w:lang w:val="el" w:eastAsia="el"/>
        </w:rPr>
        <w:t>ιδιωτικές επιχειρήσεις με τη μορφή ομόρρυθμων, ετερόρρυθμων, εταιρειών περιορισμένης ευθύνης εταιρειών και ιδιωτικών κεφαλαιουχικών εταιρειών (ΙΚΕ), ανεξαρτήτως κλάδου, οι οποίες δεν απασχολούσαν εργαζόμενους κατά την 31η Μαρτίου 2020,</w:t>
      </w:r>
    </w:p>
    <w:p>
      <w:pPr>
        <w:spacing w:before="240" w:after="240"/>
        <w:rPr>
          <w:lang w:val="el" w:eastAsia="el"/>
        </w:rPr>
      </w:pPr>
      <w:r>
        <w:rPr>
          <w:lang w:val="el" w:eastAsia="el"/>
        </w:rPr>
        <w:t>οι οποίες πληρούν σωρευτικά τα κριτήρια της επόμενης παραγράφου, καθώς και την προϋπόθεση της παραγράφου 3.</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μόνιμη εγκατάσταση στην Ελλάδα, λειτουργούν νομίμως, έχουν πληγεί οικονομικά λόγω της εμφάνισης και διάδοσης του COVID-19 και έχουν εκδηλώσει ενδιαφέρον στην ειδική πλατφόρμα «myBusinessSupport», σύμφωνα με την Α.1076/2.4.2020 (Β’1135) απόφαση των Υπουργών Οικονομικών και Ανάπτυξης και Επενδύσεων.</w:t>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2 Απριλίου 2020, έχουν υποβάλει δήλωση φορολογίας εισοδήματος για τα φορολογικά έτη 2017 και 2018,</w:t>
      </w:r>
    </w:p>
    <w:p>
      <w:pPr>
        <w:pStyle w:val="StructureList1"/>
        <w:spacing w:before="120" w:after="0"/>
        <w:rPr>
          <w:lang w:val="el" w:eastAsia="el"/>
        </w:rPr>
      </w:pPr>
      <w:r>
        <w:rPr>
          <w:lang w:val="el" w:eastAsia="el"/>
        </w:rPr>
        <w:t>ββ)</w:t>
      </w:r>
      <w:r>
        <w:rPr>
          <w:lang w:val="en" w:eastAsia="en"/>
        </w:rPr>
        <w:tab/>
      </w:r>
      <w:r>
        <w:rPr>
          <w:lang w:val="el" w:eastAsia="el"/>
        </w:rPr>
        <w:t>μέχρι και την έναρξη ισχύος της παρούσας απόφασης, έχουν υποβάλει όλες τις δηλώσεις ΦΠΑ για την περίοδο από 1η Ιανουαρίου 2017 μέχρι 31η Μαρτίου 2020.</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Απριλίου 2019 μέχρι και 2 Απριλίου 2020,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δ)</w:t>
      </w:r>
      <w:r>
        <w:rPr>
          <w:lang w:val="en" w:eastAsia="en"/>
        </w:rPr>
        <w:tab/>
      </w:r>
      <w:r>
        <w:rPr>
          <w:lang w:val="el" w:eastAsia="el"/>
        </w:rPr>
        <w:t>Για επιχειρήσεις που έχουν δηλώσει έναρξη εργασιών στο φορολογικό μητρώο της ΑΑΔΕ μέχρι την 31η Μαρτίου 2019, να μην έχουν υποβάλει, μέχρι και την έναρξη ισχύος της παρούσας απόφασης, πιστωτικές δηλώσεις ΦΠΑ με μηδενικές εκροές καθ’ όλη την περίοδο από την 1η Απριλίου 2019 μέχρι και την 31η Μαρτίου 2020.</w:t>
      </w:r>
    </w:p>
    <w:p>
      <w:pPr>
        <w:pStyle w:val="StructureList1"/>
        <w:spacing w:before="120" w:after="0"/>
        <w:rPr>
          <w:lang w:val="el" w:eastAsia="el"/>
        </w:rPr>
      </w:pPr>
      <w:r>
        <w:rPr>
          <w:lang w:val="el" w:eastAsia="el"/>
        </w:rPr>
        <w:t>ε)</w:t>
      </w:r>
      <w:r>
        <w:rPr>
          <w:lang w:val="en" w:eastAsia="en"/>
        </w:rPr>
        <w:tab/>
      </w:r>
      <w:r>
        <w:rPr>
          <w:lang w:val="el" w:eastAsia="el"/>
        </w:rPr>
        <w:t>Δεν έχει ανασταλεί, μέχρι και την έναρξη ισχύος της παρούσας, η χρήση του ΑΦΜ της επιχείρησης για τη διενέργεια ενδοκοινοτικών συναλλαγών σύμφωνα με την απόφαση ΓΓΔΕ ΠΟΛ. 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στ)</w:t>
      </w:r>
      <w:r>
        <w:rPr>
          <w:lang w:val="en" w:eastAsia="en"/>
        </w:rPr>
        <w:tab/>
      </w:r>
      <w:r>
        <w:rPr>
          <w:lang w:val="el" w:eastAsia="el"/>
        </w:rPr>
        <w:t>Εμφανίζουν θετικό κύκλο εργασιών οποιαδήποτε στιγμή από την 1η Ιανουαρίου 2019 έως την 31η Μαρτίου 2020, με βάση τα στοιχεία ΦΠΑ ή εισοδήματος, κατά περίπτωση, ανάλογα με το αν η αιτούσα επιχείρηση είναι υποκείμενη σε ΦΠΑ, ή μη υποκείμενη σε ΦΠΑ ή υποκείμενη και απαλλασσόμενη από το ΦΠΑ, σύμφωνα με τα οριζόμενα στην παράγραφο 12 του άρθρου 2 της παρούσας.</w:t>
      </w:r>
    </w:p>
    <w:p>
      <w:pPr>
        <w:pStyle w:val="StructureList1"/>
        <w:spacing w:before="120" w:after="0"/>
        <w:rPr>
          <w:lang w:val="el" w:eastAsia="el"/>
        </w:rPr>
      </w:pPr>
      <w:r>
        <w:rPr>
          <w:lang w:val="el" w:eastAsia="el"/>
        </w:rPr>
        <w:t>ζ)</w:t>
      </w:r>
      <w:r>
        <w:rPr>
          <w:lang w:val="en" w:eastAsia="en"/>
        </w:rPr>
        <w:tab/>
      </w:r>
      <w:r>
        <w:rPr>
          <w:lang w:val="el" w:eastAsia="el"/>
        </w:rPr>
        <w:t>Έχουν ληφθεί για αυτές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έχουν δηλαδή ενεργό, ΚΑΔ στις 20 Μαρτίου 2020 έναν από τους αναφερόμενους στο Παράρτημα ΙΙΙ, το οποίο και αποτελεί αναπόσπαστο μέρος της παρούσας, ή των οποίων τα ακαθάριστα έσοδα ενεργού κατά την 20 Μαρτίου 2020 ΚΑΔ δευτερεύουσας δραστηριότητας από τους αναγραφόμενους στο Παράρτημα ΙΙΙ, όπως αυτά προκύπτουν από την αρχική δήλωση φόρου εισοδήματος φορολογικού έτους 2018 είναι μεγαλύτερα από τα ακαθάριστα έσοδα που αντιστοιχούν στο κύριο στις 20 Μαρτίου 2020 ή παρουσιάζουν μείωση του κύκλου εργασιών τους, ως ακολούθως:</w:t>
      </w:r>
    </w:p>
    <w:p>
      <w:pPr>
        <w:pStyle w:val="StructureList1"/>
        <w:spacing w:before="120" w:after="0"/>
        <w:rPr>
          <w:lang w:val="el" w:eastAsia="el"/>
        </w:rPr>
      </w:pPr>
      <w:r>
        <w:rPr>
          <w:lang w:val="el" w:eastAsia="el"/>
        </w:rPr>
        <w:t>αα)</w:t>
      </w:r>
      <w:r>
        <w:rPr>
          <w:lang w:val="en" w:eastAsia="en"/>
        </w:rPr>
        <w:tab/>
      </w:r>
      <w:r>
        <w:rPr>
          <w:lang w:val="el" w:eastAsia="el"/>
        </w:rPr>
        <w:t>για τις επιχειρήσεις που είναι υποκείμενες σε ΦΠΑ και τηρούν απλογραφικά βιβλία παρουσιάζουν μείωση κατά 6,70% τουλάχιστον του κύκλου εργασιών ΦΠΑ (κωδικός 312 περιοδικής δήλωσης ΦΠΑ) κατά το πρώτο τρίμηνο του 2020, όπως αυτός έχει δηλωθεί στην ειδική πλατφόρμα «myBusinessSupport», σε σχέση με τον κύκλο εργασιών αναφοράς,</w:t>
      </w:r>
    </w:p>
    <w:p>
      <w:pPr>
        <w:pStyle w:val="StructureList1"/>
        <w:spacing w:before="120" w:after="0"/>
        <w:rPr>
          <w:lang w:val="el" w:eastAsia="el"/>
        </w:rPr>
      </w:pPr>
      <w:r>
        <w:rPr>
          <w:lang w:val="el" w:eastAsia="el"/>
        </w:rPr>
        <w:t>ββ)</w:t>
      </w:r>
      <w:r>
        <w:rPr>
          <w:lang w:val="en" w:eastAsia="en"/>
        </w:rPr>
        <w:tab/>
      </w:r>
      <w:r>
        <w:rPr>
          <w:lang w:val="el" w:eastAsia="el"/>
        </w:rPr>
        <w:t>για τις επιχειρήσεις που είναι υποκείμενες σε ΦΠΑ και τηρούν διπλογραφικά βιβλία παρουσιάζουν μείωση κατά 20,00% τουλάχιστον του κύκλου εργασιών ΦΠΑ (κωδικός 312 περιοδικής δήλωσης ΦΠΑ) κατά τον μήνα Μάρτιο του 2020, όπως αυτός έχει δηλωθεί στην ειδική πλατφόρμα «myBusinessSupport», σε σχέση με τον κύκλο εργασιών αναφοράς,</w:t>
      </w:r>
    </w:p>
    <w:p>
      <w:pPr>
        <w:pStyle w:val="StructureList1"/>
        <w:spacing w:before="120" w:after="0"/>
        <w:rPr>
          <w:lang w:val="el" w:eastAsia="el"/>
        </w:rPr>
      </w:pPr>
      <w:r>
        <w:rPr>
          <w:lang w:val="el" w:eastAsia="el"/>
        </w:rPr>
        <w:t>γγ)</w:t>
      </w:r>
      <w:r>
        <w:rPr>
          <w:lang w:val="en" w:eastAsia="en"/>
        </w:rPr>
        <w:tab/>
      </w:r>
      <w:r>
        <w:rPr>
          <w:lang w:val="el" w:eastAsia="el"/>
        </w:rPr>
        <w:t>για τις επιχειρήσεις που δεν είναι υποκείμενες σε ΦΠΑ ή είναι υποκείμενες και απαλλασσόμενες και τηρούν απλογραφικά βιβλία παρουσιάζουν μείωση κατά 6,70% τουλάχιστον του συνόλου ακαθάριστων εσόδων (κωδικός 047 δήλωσης Ε3) κατά το πρώτο τρίμηνο του 2020, όπως αυτά έχουν δηλωθεί στην ειδική πλατφόρμα «myBusinessSupport», σε σχέση με τα ακαθάριστα έσοδα αναφοράς,</w:t>
      </w:r>
    </w:p>
    <w:p>
      <w:pPr>
        <w:pStyle w:val="StructureList1"/>
        <w:spacing w:before="120" w:after="0"/>
        <w:rPr>
          <w:lang w:val="el" w:eastAsia="el"/>
        </w:rPr>
      </w:pPr>
      <w:r>
        <w:rPr>
          <w:lang w:val="el" w:eastAsia="el"/>
        </w:rPr>
        <w:t>δδ)</w:t>
      </w:r>
      <w:r>
        <w:rPr>
          <w:lang w:val="en" w:eastAsia="en"/>
        </w:rPr>
        <w:tab/>
      </w:r>
      <w:r>
        <w:rPr>
          <w:lang w:val="el" w:eastAsia="el"/>
        </w:rPr>
        <w:t>για τις επιχειρήσεις που δεν είναι υποκείμενες σε ΦΠΑ ή είναι υποκείμενες και απαλλασσόμενες και τηρούν διπλογραφικά βιβλία παρουσιάζουν μείωση κατά 20,00% τουλάχιστον του συνόλου ακαθάριστων εσόδων (κωδικός 047 δήλωσης Ε3) κατά τον μήνα Μάρτιο του 2020, όπως αυτά έχουν δηλωθεί στην ειδική πλατφόρμα «myBusinessSupport», σε σχέση με τα ακαθάριστα έσοδα αναφοράς.</w:t>
      </w:r>
    </w:p>
    <w:p>
      <w:pPr>
        <w:spacing w:before="240" w:after="240"/>
        <w:rPr>
          <w:lang w:val="el" w:eastAsia="el"/>
        </w:rPr>
      </w:pPr>
      <w:r>
        <w:rPr>
          <w:lang w:val="el" w:eastAsia="el"/>
        </w:rPr>
        <w:t>Σε όλες τις ανωτέρω υπό αα) έως δδ)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δεκαδικό ψηφίο.</w:t>
      </w:r>
    </w:p>
    <w:p>
      <w:pPr>
        <w:pStyle w:val="StructureList1"/>
        <w:spacing w:before="120" w:after="0"/>
        <w:rPr>
          <w:lang w:val="el" w:eastAsia="el"/>
        </w:rPr>
      </w:pPr>
      <w:r>
        <w:rPr>
          <w:lang w:val="el" w:eastAsia="el"/>
        </w:rPr>
        <w:t>η)</w:t>
      </w:r>
      <w:r>
        <w:rPr>
          <w:lang w:val="en" w:eastAsia="en"/>
        </w:rPr>
        <w:tab/>
      </w:r>
      <w:r>
        <w:rPr>
          <w:lang w:val="el" w:eastAsia="el"/>
        </w:rPr>
        <w:t>Δεν συντρέχουν οι λόγοι αποκλεισμού της παρ. 1 του άρθρου 40 του ν. 4488/2017 (Α’137).</w:t>
      </w:r>
    </w:p>
    <w:p>
      <w:pPr>
        <w:pStyle w:val="MainText"/>
        <w:spacing w:before="120" w:after="0"/>
        <w:rPr>
          <w:lang w:val="el" w:eastAsia="el"/>
        </w:rPr>
      </w:pPr>
      <w:r>
        <w:rPr>
          <w:b/>
          <w:bCs/>
          <w:lang w:val="el" w:eastAsia="el"/>
        </w:rPr>
        <w:t>3.</w:t>
      </w:r>
      <w:r>
        <w:rPr>
          <w:lang w:val="el" w:eastAsia="el"/>
        </w:rPr>
        <w:t xml:space="preserve"> 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lang w:val="el" w:eastAsia="el"/>
        </w:rPr>
        <w:t>α)</w:t>
      </w:r>
      <w:r>
        <w:rPr>
          <w:lang w:val="en" w:eastAsia="en"/>
        </w:rPr>
        <w:tab/>
      </w:r>
      <w:r>
        <w:rPr>
          <w:lang w:val="el" w:eastAsia="el"/>
        </w:rPr>
        <w:t>Εφόσον αιτούνται ενίσχυσης δυνάμει του Προσωρινού Πλαισίου, πρέπει να μην ήταν προβληματικές κατά την έννοια του κανονισμού αριθ. 651/2014 (ΕΕ L 187/26.6.2014) στις 31 Δεκεμβρίου 2019, και να μην έχουν στη διάθεσή τους προηγούμενη ενίσχυση η οποία έχει κηρυχθεί ασυμβίβαστη με απόφαση της Ευρωπαϊκής Επιτροπής. Ο έλεγχος της εν λόγω προϋπόθεσης γίνεται και σε επίπεδο ενιαίας επιχείρησης.</w:t>
      </w:r>
    </w:p>
    <w:p>
      <w:pPr>
        <w:pStyle w:val="StructureList1"/>
        <w:spacing w:before="120" w:after="0"/>
        <w:rPr>
          <w:lang w:val="el" w:eastAsia="el"/>
        </w:rPr>
      </w:pPr>
      <w:r>
        <w:rPr>
          <w:lang w:val="el" w:eastAsia="el"/>
        </w:rPr>
        <w:t>β)</w:t>
      </w:r>
      <w:r>
        <w:rPr>
          <w:lang w:val="en" w:eastAsia="en"/>
        </w:rPr>
        <w:tab/>
      </w:r>
      <w:r>
        <w:rPr>
          <w:lang w:val="el" w:eastAsia="el"/>
        </w:rPr>
        <w:t>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κανονισμού (ΕΕ) αριθμ. 1407/13, δύναται να λάβουν ενίσχυση στο πλαίσιο της παρούσας δυνάμει του εν λόγω Κανονισμού για την επιλέξιμη δραστηριότητά τους, με τις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η εν λόγω δραστηριότητα εμφανίζει τα μεγαλύτερα έσοδα, όπως αυτό προκύπτει από τη δήλωση φόρου εισοδήματος φορολογικού έτους 2018, ή αποτελεί την κύρια δραστηριότητα βάσει κύριου ΚΑΔ εφόσον πρόκειται για επιχείρηση που έχει συσταθεί μετά την 1η Ιανουαρίου 2019 και</w:t>
      </w:r>
    </w:p>
    <w:p>
      <w:pPr>
        <w:pStyle w:val="StructureList1"/>
        <w:spacing w:before="120" w:after="0"/>
        <w:rPr>
          <w:lang w:val="el" w:eastAsia="el"/>
        </w:rPr>
      </w:pPr>
      <w:r>
        <w:rPr>
          <w:lang w:val="el" w:eastAsia="el"/>
        </w:rPr>
        <w:t>ββ)</w:t>
      </w:r>
      <w:r>
        <w:rPr>
          <w:lang w:val="en" w:eastAsia="en"/>
        </w:rPr>
        <w:tab/>
      </w:r>
      <w:r>
        <w:rPr>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 και τηρούν απλογραφικά βιβλία:</w:t>
      </w:r>
    </w:p>
    <w:p>
      <w:pPr>
        <w:spacing w:before="240" w:after="240"/>
        <w:rPr>
          <w:lang w:val="el" w:eastAsia="el"/>
        </w:rPr>
      </w:pPr>
      <w:r>
        <w:rPr>
          <w:lang w:val="el" w:eastAsia="el"/>
        </w:rPr>
        <w:t>Ενίσχυση = [(Κύκλος εργασιών αναφοράς - Κύκλος εργασιών πρώτου τριμήνου 2020) × ποσοστιαία διαφορά εκροών εισροών] - [αριθμός εργαζομένων σε αναστολή × 800/3],</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Ο κύκλος εργασιών πρώτου τριμήνου 2020 και ο κύκλος εργασιών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20% ή ο συνολικός κύκλος εργασιών ΦΠΑ του έτους 2019 είναι μηδενικός,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 αριθμός εργαζομένων σε προσωρινή αναστολή της σύμβασης εργασίας του, όπως είναι διαμορφωμένος κατά την 21η Απριλίου 2020 στο σύστημα ΕΡΓΑΝΗ.</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είναι υποκείμενες σε ΦΠΑ και τηρούν διπλογραφικά βιβλία:</w:t>
      </w:r>
    </w:p>
    <w:p>
      <w:pPr>
        <w:spacing w:before="240" w:after="240"/>
        <w:rPr>
          <w:lang w:val="el" w:eastAsia="el"/>
        </w:rPr>
      </w:pPr>
      <w:r>
        <w:rPr>
          <w:lang w:val="el" w:eastAsia="el"/>
        </w:rPr>
        <w:t>Ενίσχυση = [(Κύκλος εργασιών αναφοράς – Κύκλος εργασιών μηνός Μαρτίου 2020) × ποσοστιαία διαφορά εκροών εισροών] - [αριθμός εργαζομένων σε αναστολή × 800/3],</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Ο κύκλος εργασιών μηνός Μαρτίου 2020 και ο κύκλος εργασιών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20% ή ο συνολικός κύκλος εργασιών ΦΠΑ του έτους 2019 είναι μηδενικός,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 αριθμός εργαζομένων σε προσωρινή αναστολή της σύμβασης εργασίας του, όπως είναι διαμορφωμένος κατά την 21η Απριλίου 2020 στο σύστημα ΕΡΓΑΝΗ.</w:t>
      </w:r>
    </w:p>
    <w:p>
      <w:pPr>
        <w:pStyle w:val="StructureList1"/>
        <w:spacing w:before="120" w:after="0"/>
        <w:rPr>
          <w:lang w:val="el" w:eastAsia="el"/>
        </w:rPr>
      </w:pPr>
      <w:r>
        <w:rPr>
          <w:lang w:val="el" w:eastAsia="el"/>
        </w:rPr>
        <w:t>γ)</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 και τηρούν απλογραφικά βιβλία:</w:t>
      </w:r>
    </w:p>
    <w:p>
      <w:pPr>
        <w:spacing w:before="240" w:after="240"/>
        <w:rPr>
          <w:lang w:val="el" w:eastAsia="el"/>
        </w:rPr>
      </w:pPr>
      <w:r>
        <w:rPr>
          <w:lang w:val="el" w:eastAsia="el"/>
        </w:rPr>
        <w:t>Ενίσχυση = [(Ακαθάριστα έσοδα αναφοράς – Ακαθάριστα έσοδα πρώτου τριμήνου 2020) × ποσοστιαία διαφορά εσόδων εξόδων] - [αριθμός εργαζομένων σε αναστολή × 800/3],</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Τα ακαθάριστα έσοδα πρώτου τριμήνου 2020 και τα ακαθάριστα έσοδα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585α/α 14 της ηλεκτρονικής δήλωσης Ε3). Σε περίπτωση που η ποσοστιαία διαφορά εσόδων εξόδων είναι μικρότερη του 20% ή τα συνολικά ακαθάριστα έσοδα του έτους 2019 είναι μηδενικά,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 αριθμός εργαζομένων σε προσωρινή αναστολή της σύμβασης εργασίας του, όπως είναι διαμορφωμένος κατά την 21η Απριλίου 2020 στο σύστημα ΕΡΓΑΝΗ.</w:t>
      </w:r>
    </w:p>
    <w:p>
      <w:pPr>
        <w:pStyle w:val="StructureList1"/>
        <w:spacing w:before="120" w:after="0"/>
        <w:rPr>
          <w:lang w:val="el" w:eastAsia="el"/>
        </w:rPr>
      </w:pPr>
      <w:r>
        <w:rPr>
          <w:lang w:val="el" w:eastAsia="el"/>
        </w:rPr>
        <w:t>δ)</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 και τηρούν διπλογραφικά βιβλία:</w:t>
      </w:r>
    </w:p>
    <w:p>
      <w:pPr>
        <w:spacing w:before="240" w:after="240"/>
        <w:rPr>
          <w:lang w:val="el" w:eastAsia="el"/>
        </w:rPr>
      </w:pPr>
      <w:r>
        <w:rPr>
          <w:lang w:val="el" w:eastAsia="el"/>
        </w:rPr>
        <w:t>Ενίσχυση = [(Ακαθάριστα έσοδα αναφοράς - Ακαθάριστα έσοδα μηνός Μαρτίου 2020) × ποσοστιαία διαφορά εσόδων εξόδων] - [αριθμός εργαζομένων σε αναστολή × 800/3],</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Τα ακαθάριστα έσοδα μηνός Μαρτίου 2020 και τα ακαθάριστα έσοδα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20% ή τα συνολικά ακαθάριστα έσοδα του έτους 2019 είναι μηδενικά,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 αριθμός εργαζομένων σε προσωρινή αναστολή της σύμβασης εργασίας του, όπως είναι διαμορφωμένος κατά την 21η Απριλίου 2020 στο σύστημα ΕΡΓΑΝΗ.</w:t>
      </w:r>
    </w:p>
    <w:p>
      <w:pPr>
        <w:spacing w:before="240" w:after="240"/>
        <w:rPr>
          <w:lang w:val="el" w:eastAsia="el"/>
        </w:rPr>
      </w:pPr>
      <w:r>
        <w:rPr>
          <w:lang w:val="el" w:eastAsia="el"/>
        </w:rPr>
        <w:t>Σε όλες τις υποπεριπτώσεις των περιπτώσεων της παρούσας παραγράφου, για τον υπολογισμό των ποσοστιαίων διαφορών εκροών-εισροών ή εσόδων-εξόδων, κατά περίπτωση, διενεργείται στρογγυλοποίηση στο πρώτο δεκαδικό ψηφίο.</w:t>
      </w:r>
    </w:p>
    <w:p>
      <w:pPr>
        <w:pStyle w:val="MainText"/>
        <w:spacing w:before="120" w:after="0"/>
        <w:rPr>
          <w:lang w:val="el" w:eastAsia="el"/>
        </w:rPr>
      </w:pPr>
      <w:r>
        <w:rPr>
          <w:b/>
          <w:bCs/>
          <w:lang w:val="el" w:eastAsia="el"/>
        </w:rPr>
        <w:t>2.</w:t>
      </w:r>
      <w:r>
        <w:rPr>
          <w:lang w:val="el" w:eastAsia="el"/>
        </w:rPr>
        <w:t xml:space="preserve"> 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lang w:val="el" w:eastAsia="el"/>
        </w:rPr>
        <w:t>α)</w:t>
      </w:r>
      <w:r>
        <w:rPr>
          <w:lang w:val="en" w:eastAsia="en"/>
        </w:rPr>
        <w:tab/>
      </w:r>
      <w:r>
        <w:rPr>
          <w:lang w:val="el" w:eastAsia="el"/>
        </w:rPr>
        <w:t>2.000 ευρώ για επιχειρήσεις δικαιούχους που δεν απασχολούν εργαζόμενους με σχέση εξαρτημένης εργασίας την 31η Μαρτίου 2020,</w:t>
      </w:r>
    </w:p>
    <w:p>
      <w:pPr>
        <w:pStyle w:val="StructureList1"/>
        <w:spacing w:before="120" w:after="0"/>
        <w:rPr>
          <w:lang w:val="el" w:eastAsia="el"/>
        </w:rPr>
      </w:pPr>
      <w:r>
        <w:rPr>
          <w:lang w:val="el" w:eastAsia="el"/>
        </w:rPr>
        <w:t>β)</w:t>
      </w:r>
      <w:r>
        <w:rPr>
          <w:lang w:val="en" w:eastAsia="en"/>
        </w:rPr>
        <w:tab/>
      </w:r>
      <w:r>
        <w:rPr>
          <w:lang w:val="el" w:eastAsia="el"/>
        </w:rPr>
        <w:t>4.000 ευρώ για επιχειρήσεις δικαιούχους που απασχολούν 1 έως 5 εργαζόμενους με σχέση εξαρτημένης εργασίας την 31η Μαρτίου 2020,</w:t>
      </w:r>
    </w:p>
    <w:p>
      <w:pPr>
        <w:pStyle w:val="StructureList1"/>
        <w:spacing w:before="120" w:after="0"/>
        <w:rPr>
          <w:lang w:val="el" w:eastAsia="el"/>
        </w:rPr>
      </w:pPr>
      <w:r>
        <w:rPr>
          <w:lang w:val="el" w:eastAsia="el"/>
        </w:rPr>
        <w:t>γ)</w:t>
      </w:r>
      <w:r>
        <w:rPr>
          <w:lang w:val="en" w:eastAsia="en"/>
        </w:rPr>
        <w:tab/>
      </w:r>
      <w:r>
        <w:rPr>
          <w:lang w:val="el" w:eastAsia="el"/>
        </w:rPr>
        <w:t>8.000 ευρώ για επιχειρήσεις δικαιούχους που απασχολούν 6 έως 20 εργαζόμενους με σχέση εξαρτημένης εργασίας την 31η Μαρτίου 2020,</w:t>
      </w:r>
    </w:p>
    <w:p>
      <w:pPr>
        <w:pStyle w:val="StructureList1"/>
        <w:spacing w:before="120" w:after="0"/>
        <w:rPr>
          <w:lang w:val="el" w:eastAsia="el"/>
        </w:rPr>
      </w:pPr>
      <w:r>
        <w:rPr>
          <w:lang w:val="el" w:eastAsia="el"/>
        </w:rPr>
        <w:t>δ)</w:t>
      </w:r>
      <w:r>
        <w:rPr>
          <w:lang w:val="en" w:eastAsia="en"/>
        </w:rPr>
        <w:tab/>
      </w:r>
      <w:r>
        <w:rPr>
          <w:lang w:val="el" w:eastAsia="el"/>
        </w:rPr>
        <w:t>15.000 ευρώ για επιχειρήσεις δικαιούχους που απασχολούν 21 έως 50 εργαζόμενους με σχέση εξαρτημένης εργασίας την 31η Μαρτίου 2020,</w:t>
      </w:r>
    </w:p>
    <w:p>
      <w:pPr>
        <w:pStyle w:val="StructureList1"/>
        <w:spacing w:before="120" w:after="0"/>
        <w:rPr>
          <w:lang w:val="el" w:eastAsia="el"/>
        </w:rPr>
      </w:pPr>
      <w:r>
        <w:rPr>
          <w:lang w:val="el" w:eastAsia="el"/>
        </w:rPr>
        <w:t>ε)</w:t>
      </w:r>
      <w:r>
        <w:rPr>
          <w:lang w:val="en" w:eastAsia="en"/>
        </w:rPr>
        <w:tab/>
      </w:r>
      <w:r>
        <w:rPr>
          <w:lang w:val="el" w:eastAsia="el"/>
        </w:rPr>
        <w:t>30.000 ευρώ για επιχειρήσεις δικαιούχους που απασχολούν άνω των 50 εργαζομένων με σχέση εξαρτημένης εργασίας την 31η Μαρτίου 2020.</w:t>
      </w:r>
    </w:p>
    <w:p>
      <w:pPr>
        <w:spacing w:before="240" w:after="240"/>
        <w:rPr>
          <w:lang w:val="el" w:eastAsia="el"/>
        </w:rPr>
      </w:pPr>
      <w:r>
        <w:rPr>
          <w:lang w:val="el" w:eastAsia="el"/>
        </w:rPr>
        <w:t>Τα ανωτέρω ισχύουν και για τις επιχειρήσεις δικαιούχους που έχουν διακόψει τη λειτουργία τους με κρατική εντολή, ακόμα και εάν δεν παρουσίασαν πτώση εσόδων τον Μάρτιο ή είχαν μηδενικά έσοδα αναφοράς.</w:t>
      </w:r>
    </w:p>
    <w:p>
      <w:pPr>
        <w:pStyle w:val="MainText"/>
        <w:spacing w:before="120" w:after="0"/>
        <w:rPr>
          <w:lang w:val="el" w:eastAsia="el"/>
        </w:rPr>
      </w:pPr>
      <w:r>
        <w:rPr>
          <w:b/>
          <w:bCs/>
          <w:lang w:val="el" w:eastAsia="el"/>
        </w:rPr>
        <w:t>3.</w:t>
      </w:r>
      <w:r>
        <w:rPr>
          <w:lang w:val="el" w:eastAsia="el"/>
        </w:rPr>
        <w:t xml:space="preserve"> Επιπλέον, η ενίσχυση που προκύπτει από τις παρ. 1 και 2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λαμβάνουν ενίσχυση δυνάμει του Προσωρινού Πλαισίου, το ανώτατο ύψος ενίσχυσης ανά επιχείρηση δεν δύναται να υπερβαίνει το ποσό των τριακοσίων πενήντα χιλιάδων (350.000) ευρώ για τις επιχειρήσεις που απασχολούν έως 250 άτομα και το ποσό των πεντακοσίων χιλιάδων (500.000) ευρώ για τις επιχειρήσεις που απασχολούν άνω των 250 ατόμων. Για τις επιχειρήσεις που δραστηριοποιούνται στους τομείς της αλιείας και υδατοκαλλιέργειας, το ανώτατο ύψος ενίσχυσης ανά επιχείρηση δεν δύναται να υπερβαίνει το ποσό των εκατόν είκοσι χιλιάδων (120.000) ευρώ και για τις επιχειρήσεις που δραστηριοποιούνται στους τομείς της πρωτογενούς γεωργικής παραγωγής, το ποσό των εκατό χιλιάδων (100.000) ευρώ.</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λαμβάνουν ενίσχυση δυνάμει του Κανονισμού de minimis, το ανώτατο ύψος ενίσχυσης δεν δύναται να υπερβαίνει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ήτοι στον ΚΑΔ 49.41 οδικές μεταφορές εμπορευμάτων, το ποσό των εκατό χιλιάδων (100.000) ευρώ.</w:t>
      </w:r>
    </w:p>
    <w:p>
      <w:pPr>
        <w:pStyle w:val="StructureList1"/>
        <w:spacing w:before="120" w:after="0"/>
        <w:rPr>
          <w:lang w:val="el" w:eastAsia="el"/>
        </w:rPr>
      </w:pPr>
      <w:r>
        <w:rPr>
          <w:lang w:val="el" w:eastAsia="el"/>
        </w:rPr>
        <w:t>γ)</w:t>
      </w:r>
      <w:r>
        <w:rPr>
          <w:lang w:val="en" w:eastAsia="en"/>
        </w:rPr>
        <w:tab/>
      </w:r>
      <w:r>
        <w:rPr>
          <w:lang w:val="el" w:eastAsia="el"/>
        </w:rPr>
        <w:t>Εάν μια επιχείρηση δραστηριοποιείται σε περισσότερους από έναν τομείς για τους οποίους ισχύουν διαφορετικά ανώτατα όρια ενίσχυσης κατά τα ανωτέρω, για τους σκοπούς της παρούσας θεωρείται ότι δραστηριοποιείται στον ΚΑΔ με τα μεγαλύτερα έσοδα, όπως προκύπτει από τη δήλωση φόρου εισοδήματος φορολογικού έτους 2018 ή με βάση τον κύριο ΚΑΔ, όπως ισχύει στις 20 Μαρτίου 2020, εφόσον η επιχείρηση έχει συσταθεί μετά την 1η Ιανουαρίου 2019. Επιπλέον, η επιχείρηση διασφαλίζει, με κατάλληλα μέσα όπως ο λογιστικός διαχωρισμός, ότι για καθεμία από τις δραστηριότητες αυτές τηρείται το σχετικό ανώτατο όριο.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οχτακοσίων χιλιάδων (800.000) ευρώ. Αντιστοίχως, το συνολικό ποσό ενισχύσεων δεν δύναται να υπερβαίνει το ποσό των εκατόν είκοσι (120.000) ευρώ, σε επίπεδο ενιαίας επιχείρησης, για τις επιχειρήσεις που δραστηριοποιούνται στους τομείς της αλιείας και υδατοκαλλιέργειας και το ποσό των εκατό χιλιάδων (100.000)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lang w:val="el" w:eastAsia="el"/>
        </w:rPr>
        <w:t xml:space="preserve"> 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2018-2020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w:t>
      </w:r>
    </w:p>
    <w:p>
      <w:pPr>
        <w:pStyle w:val="MainText"/>
        <w:spacing w:before="120" w:after="0"/>
        <w:rPr>
          <w:lang w:val="el" w:eastAsia="el"/>
        </w:rPr>
      </w:pPr>
      <w:r>
        <w:rPr>
          <w:b/>
          <w:bCs/>
          <w:lang w:val="el" w:eastAsia="el"/>
        </w:rPr>
        <w:t>3.</w:t>
      </w:r>
      <w:r>
        <w:rPr>
          <w:lang w:val="el" w:eastAsia="el"/>
        </w:rPr>
        <w:t xml:space="preserve"> 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w:t>
      </w:r>
    </w:p>
    <w:p>
      <w:pPr>
        <w:pStyle w:val="MainText"/>
        <w:spacing w:before="120" w:after="0"/>
        <w:rPr>
          <w:lang w:val="el" w:eastAsia="el"/>
        </w:rPr>
      </w:pPr>
      <w:r>
        <w:rPr>
          <w:b/>
          <w:bCs/>
          <w:lang w:val="el" w:eastAsia="el"/>
        </w:rPr>
        <w:t>4.</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lang w:val="el" w:eastAsia="el"/>
        </w:rPr>
        <w:t xml:space="preserve"> Για τον ανωτέρω σκοπό η ΑΑΔΕ θέτει στη διάθεση της αρμόδιας υπηρεσίας όλα τα απαραίτητα στοιχεία και κάθε πληροφορία σχετική με την εφαρμογής της παρούσας που τηρούνται στην πλατφόρμα «myBusinessSupport».</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αίτησης - απαιτούμενα δικαιολογητικά</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w:t>
      </w:r>
      <w:hyperlink r:id="rId4" w:history="1">
        <w:r>
          <w:rPr>
            <w:rStyle w:val="Hyperlink"/>
            <w:color w:val="0000EE"/>
            <w:u w:color="0000EE"/>
            <w:lang w:val="el" w:eastAsia="el"/>
          </w:rPr>
          <w:t>https://www.aade.gr/mybusinesssupport</w:t>
        </w:r>
      </w:hyperlink>
      <w:r>
        <w:rPr>
          <w:lang w:val="el" w:eastAsia="el"/>
        </w:rPr>
        <w:t>).</w:t>
      </w:r>
    </w:p>
    <w:p>
      <w:pPr>
        <w:pStyle w:val="MainText"/>
        <w:spacing w:before="120" w:after="0"/>
        <w:rPr>
          <w:lang w:val="el" w:eastAsia="el"/>
        </w:rPr>
      </w:pPr>
      <w:r>
        <w:rPr>
          <w:b/>
          <w:bCs/>
          <w:lang w:val="el" w:eastAsia="el"/>
        </w:rPr>
        <w:t>2.</w:t>
      </w:r>
      <w:r>
        <w:rPr>
          <w:lang w:val="el" w:eastAsia="el"/>
        </w:rPr>
        <w:t xml:space="preserve"> Οι αιτήσεις υποβάλλονται έως την 15 Μαΐου 2020.</w:t>
      </w:r>
    </w:p>
    <w:p>
      <w:pPr>
        <w:pStyle w:val="MainText"/>
        <w:spacing w:before="120" w:after="0"/>
        <w:rPr>
          <w:lang w:val="el" w:eastAsia="el"/>
        </w:rPr>
      </w:pPr>
      <w:r>
        <w:rPr>
          <w:b/>
          <w:bCs/>
          <w:lang w:val="el" w:eastAsia="el"/>
        </w:rPr>
        <w:t>3.</w:t>
      </w:r>
      <w:r>
        <w:rPr>
          <w:lang w:val="el" w:eastAsia="el"/>
        </w:rPr>
        <w:t xml:space="preserve"> Κατά την αίτηση, η επιχείρηση δηλώνει το ποσό που αιτείται να λάβει στο πλαίσιο της παρούσας, εντός των ορίων του άρθρου 4 της παρούσας, το αν αιτείται να λάβει την ενίσχυση βάσει του Προσωρινού Πλαισίου ή βάσει του Κανονισμού de minimis, καθώς και τα απαιτούμενα στοιχεία και πληροφορίες σχετικά με την πλήρωση των προϋποθέσεων της παρούσας, κατά περίπτωση. Το περιεχόμενο της αίτησης περιγράφεται αναλυτικά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τον σκοπό προσδιορισμού του τελικού ύψους ενίσχυσης.</w:t>
      </w:r>
    </w:p>
    <w:p>
      <w:pPr>
        <w:pStyle w:val="MainText"/>
        <w:spacing w:before="120" w:after="0"/>
        <w:rPr>
          <w:lang w:val="el" w:eastAsia="el"/>
        </w:rPr>
      </w:pPr>
      <w:r>
        <w:rPr>
          <w:b/>
          <w:bCs/>
          <w:lang w:val="el" w:eastAsia="el"/>
        </w:rPr>
        <w:t>6.</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αρμόδια υπηρεσία του άρθρου 11 παρ. 3 απαντά στο αίτημα επανεξέτασης, βάσει των στοιχείων και πληροφοριών που αιτείται και λαμβάνει από την ΑΑΔΕ, σύμφωνα με το άρθρο 11 παρ. 5 της παρούσας απόφασης.</w:t>
      </w:r>
    </w:p>
    <w:p>
      <w:pPr>
        <w:pStyle w:val="MainText"/>
        <w:spacing w:before="120" w:after="0"/>
        <w:rPr>
          <w:lang w:val="el" w:eastAsia="el"/>
        </w:rPr>
      </w:pPr>
      <w:r>
        <w:rPr>
          <w:b/>
          <w:bCs/>
          <w:lang w:val="el" w:eastAsia="el"/>
        </w:rPr>
        <w:t>2.</w:t>
      </w:r>
      <w:r>
        <w:rPr>
          <w:lang w:val="el" w:eastAsia="el"/>
        </w:rPr>
        <w:t xml:space="preserve"> Το ποσό της ενίσχυσης, που υπολογίζεται σύμφωνα με τα οριζόμενα στο άρθρο 4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σε έντυπη και ηλεκτρονική μορφή που περιλαμβάνει το συνολικό προς πληρωμή ποσό, ολογράφως και αριθμητικώς.</w:t>
      </w:r>
    </w:p>
    <w:p>
      <w:pPr>
        <w:pStyle w:val="MainText"/>
        <w:spacing w:before="120" w:after="0"/>
        <w:rPr>
          <w:lang w:val="el" w:eastAsia="el"/>
        </w:rPr>
      </w:pPr>
      <w:r>
        <w:rPr>
          <w:b/>
          <w:bCs/>
          <w:lang w:val="el" w:eastAsia="el"/>
        </w:rPr>
        <w:t>4.</w:t>
      </w:r>
      <w:r>
        <w:rPr>
          <w:lang w:val="el" w:eastAsia="el"/>
        </w:rPr>
        <w:t xml:space="preserve"> Η ανωτέρω συγκεντρωτική κατάσταση αποστέλλεται στη Γενική Δ/νση Οικονομικών Υπηρεσιών του Υπουργείου Οικονομικών, η οποία βάσει αυτής, μεταφέρει (άνευ υπoλόγου) το συνολικό ποσό από το λογαριασμό του έργου που είναι ενταγμένο στη ΣΑ051/2, στον ενδιάμεσο λογαριασμό με κωδικό IBAN GR4001000230000000004810500 που τηρείται στην Τράπεζα της Ελλάδος με ηλεκτρονική εντολή μεταφοράς (eps).</w:t>
      </w:r>
    </w:p>
    <w:p>
      <w:pPr>
        <w:spacing w:before="240" w:after="240"/>
        <w:rPr>
          <w:lang w:val="el" w:eastAsia="el"/>
        </w:rPr>
      </w:pPr>
      <w:r>
        <w:rPr>
          <w:lang w:val="el" w:eastAsia="el"/>
        </w:rPr>
        <w:t>Η ανωτέρω αναλυτική κατάσταση αποστέλλεται με ασφαλή τρόπο προς τη ΔΙΑΣ Α.Ε. για χρέωση του ανωτέρω ενδιάμεσου λογαριασμού 23/4810500 με πίστωση των τραπεζικών λογαριασμών των δικαιούχων. Η ίδια πληροφόρηση κοινοποιείται στη Γενική Διεύθυνση Οικονομικών Υπηρεσιών (ΓΔΟΥ) του Υπουργείου Οικονομικών και στην Ειδική Υπηρεσία Διαχείρισης του ΕΠ «Ανταγωνιστικότητα Επιχειρηματικότητα και Καινοτομία».</w:t>
      </w:r>
    </w:p>
    <w:p>
      <w:pPr>
        <w:spacing w:before="240" w:after="240"/>
        <w:rPr>
          <w:lang w:val="el" w:eastAsia="el"/>
        </w:rPr>
      </w:pPr>
      <w:r>
        <w:rPr>
          <w:lang w:val="el" w:eastAsia="el"/>
        </w:rPr>
        <w:t>Η ΔΙΑΣ μεταφέρει τα ποσά από τον ενδιάμεσο λογαριασμό 23/4810500 σε πίστωση των εμπορικών τραπεζικών λογαριασμών των δικαιούχων, στη βάση της αναλυτικής κατάστασης που ετοιμάζεται και αποστέλλεται από την ΑΑΔΕ.</w:t>
      </w:r>
    </w:p>
    <w:p>
      <w:pPr>
        <w:spacing w:before="240" w:after="240"/>
        <w:rPr>
          <w:lang w:val="el" w:eastAsia="el"/>
        </w:rPr>
      </w:pPr>
      <w:r>
        <w:rPr>
          <w:lang w:val="el" w:eastAsia="el"/>
        </w:rPr>
        <w:t>Το αρχείο της αναλυτικής κατάστασης ενημερωμένο από την ΑΑΔΕ με τα ποσά που επιτυχώς πληρώθηκαν βάση της σχετικής ενημέρωσης από τη ΔΙΑΣ, αποστέλλεται στην ΓΔΟΥ του Υπουργείου Οικονομικών και στην Ειδική Υπηρεσία Διαχείρισης του ΕΠ «Ανταγωνιστικότητα Επιχειρηματικότητα και Καινοτομία» προκειμένου να συνοδεύσει το αίτημα πληρωμής προς την ΕΕ.</w:t>
      </w:r>
    </w:p>
    <w:p>
      <w:pPr>
        <w:pStyle w:val="MainText"/>
        <w:spacing w:before="120" w:after="0"/>
        <w:rPr>
          <w:lang w:val="el" w:eastAsia="el"/>
        </w:rPr>
      </w:pPr>
      <w:r>
        <w:rPr>
          <w:b/>
          <w:bCs/>
          <w:lang w:val="el" w:eastAsia="el"/>
        </w:rPr>
        <w:t>5.</w:t>
      </w:r>
      <w:r>
        <w:rPr>
          <w:lang w:val="el" w:eastAsia="el"/>
        </w:rPr>
        <w:t xml:space="preserve"> Τα ποσά που απέτυχαν να πληρωθούν επιστρέφουν στον λογαριασμό του Ελληνικού Δημοσίου με IBAN GR3001000230000000000002002 και λογιστικοποιούνται ως έσοδα του ΠΔΕ.</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6.</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την ΓΔΟΥ του Υπουργείου Οικονομικών.</w:t>
      </w:r>
    </w:p>
    <w:p>
      <w:pPr>
        <w:pStyle w:val="MainText"/>
        <w:spacing w:before="120" w:after="0"/>
        <w:rPr>
          <w:lang w:val="el" w:eastAsia="el"/>
        </w:rPr>
      </w:pPr>
      <w:r>
        <w:rPr>
          <w:b/>
          <w:bCs/>
          <w:lang w:val="el" w:eastAsia="el"/>
        </w:rPr>
        <w:t>7.</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απόφαση του Υπουργού Ανάπτυξης και Επενδύσεων για ένταξη και έγκριση πιστώσεων του έργου στο ΠΔΕ 2020 (ΣΑΕ),</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του σημείου 3β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αποδεικτικό της ηλεκτρονικής εντολής (eps) για την μεταφορά του ποσού από το λογαριασμό του έργου ΠΔΕ στον ενδιάμεσο λογαριασμό που τηρείται στην Τράπεζα της Ελλάδος.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και προϋποθέσεις επιστροφής της</w:t>
      </w:r>
    </w:p>
    <w:p>
      <w:pPr>
        <w:spacing w:before="240" w:after="240"/>
        <w:rPr>
          <w:lang w:val="el" w:eastAsia="el"/>
        </w:rPr>
      </w:pPr>
      <w:r>
        <w:rPr>
          <w:lang w:val="el" w:eastAsia="el"/>
        </w:rPr>
        <w:t>ενίσχυσης</w:t>
      </w:r>
    </w:p>
    <w:p>
      <w:pPr>
        <w:pStyle w:val="MainText"/>
        <w:spacing w:before="120" w:after="0"/>
        <w:rPr>
          <w:lang w:val="el" w:eastAsia="el"/>
        </w:rPr>
      </w:pPr>
      <w:r>
        <w:rPr>
          <w:b/>
          <w:bCs/>
          <w:lang w:val="el" w:eastAsia="el"/>
        </w:rPr>
        <w:t>1.</w:t>
      </w:r>
      <w:r>
        <w:rPr>
          <w:lang w:val="el" w:eastAsia="el"/>
        </w:rPr>
        <w:t xml:space="preserve"> Το ποσό της ενίσχυσης επιβαρύνεται με επιτόκιο αναφοράς, όπως αυτό ορίζεται στο άρθρο 2 παρ. 4 της παρούσας.</w:t>
      </w:r>
    </w:p>
    <w:p>
      <w:pPr>
        <w:pStyle w:val="MainText"/>
        <w:spacing w:before="120" w:after="0"/>
        <w:rPr>
          <w:lang w:val="el" w:eastAsia="el"/>
        </w:rPr>
      </w:pPr>
      <w:r>
        <w:rPr>
          <w:b/>
          <w:bCs/>
          <w:lang w:val="el" w:eastAsia="el"/>
        </w:rPr>
        <w:t>2.</w:t>
      </w:r>
      <w:r>
        <w:rPr>
          <w:lang w:val="el" w:eastAsia="el"/>
        </w:rPr>
        <w:t xml:space="preserve"> Για το χρονικό διάστημα ως την 31η Δεκεμβρίου 2021 παρέχεται άτοκη περίοδος χάριτος, κατά την οποία η δικαιούχος επιχείρηση δεν υποχρεούται να επιστρέψει οιοδήποτε τμήμα κεφαλαίου ή τόκων.</w:t>
      </w:r>
    </w:p>
    <w:p>
      <w:pPr>
        <w:pStyle w:val="MainText"/>
        <w:spacing w:before="120" w:after="0"/>
        <w:rPr>
          <w:lang w:val="el" w:eastAsia="el"/>
        </w:rPr>
      </w:pPr>
      <w:r>
        <w:rPr>
          <w:b/>
          <w:bCs/>
          <w:lang w:val="el" w:eastAsia="el"/>
        </w:rPr>
        <w:t>3.</w:t>
      </w:r>
      <w:r>
        <w:rPr>
          <w:lang w:val="el" w:eastAsia="el"/>
        </w:rPr>
        <w:t xml:space="preserve"> Μετά την παρέλευση της περιόδου χάριτος, το ποσό της ληφθείσας ενίσχυσης επιστρέφεται σε σαράντα (40) ισόποσες τοκοχρεωλυτικές μηνιαίες δόσεις, εκάστης εξ αυτών καταβλητέας την τελευταία ημέρα του μήνα.</w:t>
      </w:r>
    </w:p>
    <w:p>
      <w:pPr>
        <w:pStyle w:val="MainText"/>
        <w:spacing w:before="120" w:after="0"/>
        <w:rPr>
          <w:lang w:val="el" w:eastAsia="el"/>
        </w:rPr>
      </w:pPr>
      <w:r>
        <w:rPr>
          <w:b/>
          <w:bCs/>
          <w:lang w:val="el" w:eastAsia="el"/>
        </w:rPr>
        <w:t>4.</w:t>
      </w:r>
      <w:r>
        <w:rPr>
          <w:lang w:val="el" w:eastAsia="el"/>
        </w:rPr>
        <w:t xml:space="preserve"> Το ποσό της ενίσχυσης εμφανίζεται με τις τυχόν λοιπές οφειλές της επιχείρησης, στο διαδικτυακό τόπο της ΑΑΔΕ </w:t>
      </w:r>
      <w:hyperlink r:id="rId5" w:history="1">
        <w:r>
          <w:rPr>
            <w:rStyle w:val="Hyperlink"/>
            <w:color w:val="0000EE"/>
            <w:u w:color="0000EE"/>
            <w:lang w:val="el" w:eastAsia="el"/>
          </w:rPr>
          <w:t>www.aade.gr</w:t>
        </w:r>
      </w:hyperlink>
      <w:r>
        <w:rPr>
          <w:lang w:val="el" w:eastAsia="el"/>
        </w:rPr>
        <w:t xml:space="preserve"> στην επιλογή «myTAXISNet / ο λογαριασμός μου / Προσωποποιημένη πληροφόρηση/ Στοιχεία Οφειλών εκτός Ρύθμισης και Πληρωμή».</w:t>
      </w:r>
    </w:p>
    <w:p>
      <w:pPr>
        <w:pStyle w:val="MainText"/>
        <w:spacing w:before="120" w:after="0"/>
        <w:rPr>
          <w:lang w:val="el" w:eastAsia="el"/>
        </w:rPr>
      </w:pPr>
      <w:r>
        <w:rPr>
          <w:b/>
          <w:bCs/>
          <w:lang w:val="el" w:eastAsia="el"/>
        </w:rPr>
        <w:t>5.</w:t>
      </w:r>
      <w:r>
        <w:rPr>
          <w:lang w:val="el" w:eastAsia="el"/>
        </w:rPr>
        <w:t xml:space="preserve"> Το ανωτέρω ποσό βεβαιώνεται ως δημόσιο έσοδο και λογιστικοποιείται στα έσοδα του ΠΔΕ σε ειδικούς Αναλυτικούς Λογαριασμούς Εσόδων (ΑΛΕ) που θα δημιουργηθούν για το σκοπό αυτό.</w:t>
      </w:r>
    </w:p>
    <w:p>
      <w:pPr>
        <w:pStyle w:val="MainText"/>
        <w:spacing w:before="120" w:after="0"/>
        <w:rPr>
          <w:lang w:val="el" w:eastAsia="el"/>
        </w:rPr>
      </w:pPr>
      <w:r>
        <w:rPr>
          <w:b/>
          <w:bCs/>
          <w:lang w:val="el" w:eastAsia="el"/>
        </w:rPr>
        <w:t>6.</w:t>
      </w:r>
      <w:r>
        <w:rPr>
          <w:lang w:val="el" w:eastAsia="el"/>
        </w:rPr>
        <w:t xml:space="preserve"> Σε περίπτωση μη εμπρόθεσμης καταβολής των οφειλόμενων ποσών εφαρμόζονται οι γενικές διατάξεις του ΚΕΔΕ.</w:t>
      </w:r>
    </w:p>
    <w:p>
      <w:pPr>
        <w:pStyle w:val="MainText"/>
        <w:spacing w:before="120" w:after="0"/>
        <w:rPr>
          <w:lang w:val="el" w:eastAsia="el"/>
        </w:rPr>
      </w:pPr>
      <w:r>
        <w:rPr>
          <w:b/>
          <w:bCs/>
          <w:lang w:val="el" w:eastAsia="el"/>
        </w:rPr>
        <w:t>7.</w:t>
      </w:r>
      <w:r>
        <w:rPr>
          <w:lang w:val="el" w:eastAsia="el"/>
        </w:rPr>
        <w:t xml:space="preserve"> Παρέχεται δυνατότητα</w:t>
      </w:r>
    </w:p>
    <w:p>
      <w:pPr>
        <w:pStyle w:val="StructureList1"/>
        <w:spacing w:before="120" w:after="0"/>
        <w:rPr>
          <w:lang w:val="el" w:eastAsia="el"/>
        </w:rPr>
      </w:pPr>
      <w:r>
        <w:rPr>
          <w:lang w:val="el" w:eastAsia="el"/>
        </w:rPr>
        <w:t>α)</w:t>
      </w:r>
      <w:r>
        <w:rPr>
          <w:lang w:val="en" w:eastAsia="en"/>
        </w:rPr>
        <w:tab/>
      </w:r>
      <w:r>
        <w:rPr>
          <w:lang w:val="el" w:eastAsia="el"/>
        </w:rPr>
        <w:t>επιστροφής μόνο ποσοστού 70% της ενίσχυσης, εφόσον ο κύκλος εργασιών της επιχείρησης, ένα έτος μετά τη λήψη της ενίσχυσης, είναι μειωμένος κατά 70% ή παραπάνω σε σχέση με το ύψος του κύκλου εργασιών αναφοράς ή των ακαθάριστων εσόδων αναφοράς, όπως αυτά ορίζονται στις παρ. 10 και 11 του άρθρου 2 της παρούσας,</w:t>
      </w:r>
    </w:p>
    <w:p>
      <w:pPr>
        <w:pStyle w:val="StructureList1"/>
        <w:spacing w:before="120" w:after="0"/>
        <w:rPr>
          <w:lang w:val="el" w:eastAsia="el"/>
        </w:rPr>
      </w:pPr>
      <w:r>
        <w:rPr>
          <w:lang w:val="el" w:eastAsia="el"/>
        </w:rPr>
        <w:t>β)</w:t>
      </w:r>
      <w:r>
        <w:rPr>
          <w:lang w:val="en" w:eastAsia="en"/>
        </w:rPr>
        <w:tab/>
      </w:r>
      <w:r>
        <w:rPr>
          <w:lang w:val="el" w:eastAsia="el"/>
        </w:rPr>
        <w:t>επιστροφής μόνο ποσοστού 60% της ενίσχυσης, για τις επιχειρήσεις που απασχολούσαν την 31η Μαρτίου 2020 περισσότερους από 20 εργαζόμενους, εφόσον διατηρήσουν κατά μέσο όρο τον αριθμό των εργαζομένων που απασχολούσαν κατά την 31η Μαρτίου 2020, βάσει των στοιχείων του συστήματος ΕΡΓΑΝΗ, ως και την 31η Μαρτίου 2021.</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Η επιχείρηση υποχρεούται να διατηρήσει έως την 31η Οκτωβρίου 2020 τον αριθμό των εργαζομένων που απασχολούσε κατά την 31η Μαρτίου 2020, βάσει των στοιχείων του συστήματος ΕΡΓΑΝΗ. Ο έλεγχος θα πραγματοποιείται ηλεκτρονικά μέσω του συστήματος ΕΡΓΑΝΗ και θα αφορά το μέσο όρο του αριθμού των εργαζομένων κατά το διάστημα αυτό.</w:t>
      </w:r>
    </w:p>
    <w:p>
      <w:pPr>
        <w:pStyle w:val="MainText"/>
        <w:spacing w:before="120" w:after="0"/>
        <w:rPr>
          <w:lang w:val="el" w:eastAsia="el"/>
        </w:rPr>
      </w:pPr>
      <w:r>
        <w:rPr>
          <w:b/>
          <w:bCs/>
          <w:lang w:val="el" w:eastAsia="el"/>
        </w:rPr>
        <w:t>2.</w:t>
      </w:r>
      <w:r>
        <w:rPr>
          <w:lang w:val="el" w:eastAsia="el"/>
        </w:rPr>
        <w:t xml:space="preserve"> Εφόσον η επιχείρηση ενισχύεται βάσει του Προσωρινού Πλαισίου, οφείλει να προσκομίσει μέχρι την 30η Νοεμβρίου 2020 τα δικαιολογητικά που προβλέπονται στο Παράρτημα ΙΙ.Β. της παρούσας, το οποίο και αποτελεί αναπόσπαστο μέρος της παρούσας, σύμφωνα με τις οδηγίες που θα δοθούν από την αρμόδια υπηρεσία του άρθρου 11 της παρούσας.</w:t>
      </w:r>
    </w:p>
    <w:p>
      <w:pPr>
        <w:pStyle w:val="MainText"/>
        <w:spacing w:before="120" w:after="0"/>
        <w:rPr>
          <w:lang w:val="el" w:eastAsia="el"/>
        </w:rPr>
      </w:pPr>
      <w:r>
        <w:rPr>
          <w:b/>
          <w:bCs/>
          <w:lang w:val="el" w:eastAsia="el"/>
        </w:rPr>
        <w:t>3.</w:t>
      </w:r>
      <w:r>
        <w:rPr>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lang w:val="el" w:eastAsia="el"/>
        </w:rPr>
        <w:t xml:space="preserve"> Σε περίπτωση που κατά τον έλεγχο της επιχείρησης από την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ζητείται η άμεση επιστροφή του συνόλου της χορηγηθείσας ενίσχυσης εντόκως από την ημερομηνία που τέθηκε στη διάθεση του δικαιούχου, σύμφωνα με τα οριζόμενα στην αριθ. 126829/EΥΘΥ 1217/8.12.2015 (Β’2784) κοινή υπουργική απόφαση Δημοσιονομικών Διορθώσεων, όπως εκάστοτε ισχύει. Ο υπολογισμός των τόκων ανάκτησης γίνεται από την ημερομηνία χορήγησης της ενίσχυσης.</w:t>
      </w:r>
    </w:p>
    <w:p>
      <w:pPr>
        <w:pStyle w:val="MainText"/>
        <w:spacing w:before="120" w:after="0"/>
        <w:rPr>
          <w:lang w:val="el" w:eastAsia="el"/>
        </w:rPr>
      </w:pPr>
      <w:r>
        <w:rPr>
          <w:b/>
          <w:bCs/>
          <w:lang w:val="el" w:eastAsia="el"/>
        </w:rPr>
        <w:t>6.</w:t>
      </w:r>
      <w:r>
        <w:rPr>
          <w:lang w:val="el" w:eastAsia="el"/>
        </w:rPr>
        <w:t xml:space="preserve"> Ο δικαιούχος - λήπτης της ενίσχυσης υποχρεούται να παράσχει κάθε στοιχείο, έγγραφο ή πληροφορία, ώστε να εξασφαλιστεί η δυνατότητα αποτίμησης και αξιολόγησης του παρόντος προγράμματος ενίσχυσης, στα αρμόδια όργανα.</w:t>
      </w:r>
    </w:p>
    <w:p>
      <w:pPr>
        <w:pStyle w:val="MainText"/>
        <w:spacing w:before="120" w:after="0"/>
        <w:rPr>
          <w:lang w:val="el" w:eastAsia="el"/>
        </w:rPr>
      </w:pPr>
      <w:r>
        <w:rPr>
          <w:b/>
          <w:bCs/>
          <w:lang w:val="el" w:eastAsia="el"/>
        </w:rPr>
        <w:t>7.</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είτε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8.</w:t>
      </w:r>
      <w:r>
        <w:rPr>
          <w:lang w:val="el" w:eastAsia="el"/>
        </w:rPr>
        <w:t xml:space="preserve"> Σε περίπτωση συγχρηματοδότησης, ο δικαιούχος - λήπτης της ενίσχυσης ενημερώνει το κοινό σχετικά με την στήριξη που έχει λάβει από τα Ταμεία:</w:t>
      </w:r>
    </w:p>
    <w:p>
      <w:pPr>
        <w:pStyle w:val="StructureList1"/>
        <w:spacing w:before="120" w:after="0"/>
        <w:rPr>
          <w:lang w:val="el" w:eastAsia="el"/>
        </w:rPr>
      </w:pPr>
      <w:r>
        <w:rPr>
          <w:lang w:val="el" w:eastAsia="el"/>
        </w:rPr>
        <w:t>α)</w:t>
      </w:r>
      <w:r>
        <w:rPr>
          <w:lang w:val="en" w:eastAsia="en"/>
        </w:rPr>
        <w:tab/>
      </w:r>
      <w:r>
        <w:rPr>
          <w:lang w:val="el" w:eastAsia="el"/>
        </w:rPr>
        <w:t>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Ένωση,</w:t>
      </w:r>
    </w:p>
    <w:p>
      <w:pPr>
        <w:pStyle w:val="StructureList1"/>
        <w:spacing w:before="120" w:after="0"/>
        <w:rPr>
          <w:lang w:val="el" w:eastAsia="el"/>
        </w:rPr>
      </w:pPr>
      <w:r>
        <w:rPr>
          <w:lang w:val="el" w:eastAsia="el"/>
        </w:rPr>
        <w:t>β)</w:t>
      </w:r>
      <w:r>
        <w:rPr>
          <w:lang w:val="en" w:eastAsia="en"/>
        </w:rPr>
        <w:tab/>
      </w:r>
      <w:r>
        <w:rPr>
          <w:lang w:val="el" w:eastAsia="el"/>
        </w:rPr>
        <w:t>τοποθετώντας τουλάχιστον μία αφίσα με πληροφόρηση σχετικά με το έργο (ελάχιστο μέγεθος Α3), που περιλαμβάνει τη χρηματοδοτική συνδρομή από την Ένωση, σε σημείο εύκολα ορατό από το κοινό, όπως η είσοδος σε ένα κτίριο.</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44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Ειδικότερα θέματα χρηματοδότησης</w:t>
      </w:r>
    </w:p>
    <w:p>
      <w:pPr>
        <w:pStyle w:val="MainText"/>
        <w:spacing w:before="120" w:after="0"/>
        <w:rPr>
          <w:lang w:val="el" w:eastAsia="el"/>
        </w:rPr>
      </w:pPr>
      <w:r>
        <w:rPr>
          <w:b/>
          <w:bCs/>
          <w:lang w:val="el" w:eastAsia="el"/>
        </w:rPr>
        <w:t>1.</w:t>
      </w:r>
      <w:r>
        <w:rPr>
          <w:lang w:val="el" w:eastAsia="el"/>
        </w:rPr>
        <w:t xml:space="preserve"> Η συνολική δημόσια δαπάνη της δράσης, ανέρχεται σε ένα δισεκατομμύριο (1.000.000.000) ευρώ. Η δράση θα χρηματοδοτηθεί από το συγχρηματοδοτούμενο σκέλος του Προγράμματος Δημοσίων Επενδύσεων (ΠΔΕ) του Υπουργείου Οικονομικών, ΣΑ051/2 και μέρος αυτής θα ενταχθεί, μετά την ολοκλήρωση των διαχειριστικών ενεργειών, στο Ε.Π. «Ανταγωνιστικότητα Επιχειρηματικότητα και Καινοτομία», σύμφωνα με τους Κανονισμούς 1303/2013 και 1301/2013 και το Σύστημα Διαχείρισης και Ελέγχου της Προγραμματικής Περιόδου 2014-2020.</w:t>
      </w:r>
    </w:p>
    <w:p>
      <w:pPr>
        <w:pStyle w:val="MainText"/>
        <w:spacing w:before="120" w:after="0"/>
        <w:rPr>
          <w:lang w:val="el" w:eastAsia="el"/>
        </w:rPr>
      </w:pPr>
      <w:r>
        <w:rPr>
          <w:b/>
          <w:bCs/>
          <w:lang w:val="el" w:eastAsia="el"/>
        </w:rPr>
        <w:t>2.</w:t>
      </w:r>
      <w:r>
        <w:rPr>
          <w:lang w:val="el" w:eastAsia="el"/>
        </w:rPr>
        <w:t xml:space="preserve"> Το ποσό της επιστρεπτέας προκαταβολής που θα χρηματοδοτηθεί από το ΕΠ και επιστρέφεται μετά την ολοκλήρωση της δράσης σε συγκεκριμένο για το σκοπό τραπεζικό λογαριασμό, χρησιμοποιείται για τον ίδιο σκοπό ή σύμφωνα με τους στόχους του επιχειρησιακού προγράμματος.</w:t>
      </w:r>
    </w:p>
    <w:p>
      <w:pPr>
        <w:pStyle w:val="MainText"/>
        <w:spacing w:before="120" w:after="0"/>
        <w:rPr>
          <w:lang w:val="el" w:eastAsia="el"/>
        </w:rPr>
      </w:pPr>
      <w:r>
        <w:rPr>
          <w:b/>
          <w:bCs/>
          <w:lang w:val="el" w:eastAsia="el"/>
        </w:rPr>
        <w:t>3.</w:t>
      </w:r>
      <w:r>
        <w:rPr>
          <w:lang w:val="el" w:eastAsia="el"/>
        </w:rPr>
        <w:t xml:space="preserve"> Δικαιούχος της δράσης, κατά την έννοια του κανονισμού 1303/2013, είναι η ΓΔΟΥ του Υπουργείου Οικονομικών. Η ΓΔΟΥ του Υπουργείου Οικονομικών έχει τη γενική εποπτεία και την ευθύνη της διοικητικής υποστήριξης της δράσης. Επίσης, στο πλαίσιο των αρμοδιοτήτων της,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καθώς και το σύνολο των υποχρεώσεων Δικαιούχου, όπως ορίζονται στον ν. 4314/2014 και το Σύστημα Διαχείρισης και Ελέγχου της Προγραμματικής Περιόδου 2014-2020.</w:t>
      </w:r>
    </w:p>
    <w:p>
      <w:pPr>
        <w:spacing w:before="240" w:after="240"/>
        <w:rPr>
          <w:lang w:val="el" w:eastAsia="el"/>
        </w:rPr>
      </w:pPr>
      <w:r>
        <w:rPr>
          <w:lang w:val="el" w:eastAsia="el"/>
        </w:rPr>
        <w:t>Η ΓΔΟΥ του Υπουργείου Οικονομικών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MainText"/>
        <w:spacing w:before="120" w:after="0"/>
        <w:rPr>
          <w:lang w:val="el" w:eastAsia="el"/>
        </w:rPr>
      </w:pPr>
      <w:r>
        <w:rPr>
          <w:b/>
          <w:bCs/>
          <w:lang w:val="el" w:eastAsia="el"/>
        </w:rPr>
        <w:t>4.</w:t>
      </w:r>
      <w:r>
        <w:rPr>
          <w:lang w:val="el" w:eastAsia="el"/>
        </w:rPr>
        <w:t xml:space="preserve"> Η ανωτέρω υπηρεσία υποχρεούται:</w:t>
      </w:r>
    </w:p>
    <w:p>
      <w:pPr>
        <w:pStyle w:val="StructureList1"/>
        <w:spacing w:before="120" w:after="0"/>
        <w:rPr>
          <w:lang w:val="el" w:eastAsia="el"/>
        </w:rPr>
      </w:pPr>
      <w:r>
        <w:rPr>
          <w:lang w:val="el" w:eastAsia="el"/>
        </w:rPr>
        <w:t>α)</w:t>
      </w:r>
      <w:r>
        <w:rPr>
          <w:lang w:val="en" w:eastAsia="en"/>
        </w:rPr>
        <w:tab/>
      </w:r>
      <w:r>
        <w:rPr>
          <w:lang w:val="el" w:eastAsia="el"/>
        </w:rPr>
        <w:t>να αποστέλλει στην οικεία Διαχειριστική Αρχή τις πληροφορίες που απαιτούνται για την ανάρτηση των ενισχύσεων που χορηγούνται βάσει του Προσωρινού Πλαισίου στο ΤΑΜ, κατά τα προβλεπόμενα στην παρ. 1 του άρθρου 10 της παρούσας, καθώς και τις πληροφορίες που απαιτούνται για την υποβολή των ετήσιων εκθέσεων στην Ευρωπαϊκή Επιτροπή κατά τα προβλεπόμενα στο σημείο 35 του Προσωρινού Πλαισίου,</w:t>
      </w:r>
    </w:p>
    <w:p>
      <w:pPr>
        <w:pStyle w:val="StructureList1"/>
        <w:spacing w:before="120" w:after="0"/>
        <w:rPr>
          <w:lang w:val="el" w:eastAsia="el"/>
        </w:rPr>
      </w:pPr>
      <w:r>
        <w:rPr>
          <w:lang w:val="el" w:eastAsia="el"/>
        </w:rPr>
        <w:t>β)</w:t>
      </w:r>
      <w:r>
        <w:rPr>
          <w:lang w:val="en" w:eastAsia="en"/>
        </w:rPr>
        <w:tab/>
      </w:r>
      <w:r>
        <w:rPr>
          <w:lang w:val="el" w:eastAsia="el"/>
        </w:rPr>
        <w:t>να τηρεί για δέκα (10) έτη λεπτομερή αρχεία όσον αφορά τη χορήγηση ενισχύσεων που εμπίπτουν στο πεδίο εφαρμογής της παρούσας απόφασης, τα οποία να περιλαμβάνουν όλα τα στοιχεία που είναι αναγκαία για να πιστοποιηθεί η τήρηση των προϋποθέσεων της παρούσας,</w:t>
      </w:r>
    </w:p>
    <w:p>
      <w:pPr>
        <w:pStyle w:val="StructureList1"/>
        <w:spacing w:before="120" w:after="0"/>
        <w:rPr>
          <w:lang w:val="el" w:eastAsia="el"/>
        </w:rPr>
      </w:pPr>
      <w:r>
        <w:rPr>
          <w:lang w:val="el" w:eastAsia="el"/>
        </w:rPr>
        <w:t>γ)</w:t>
      </w:r>
      <w:r>
        <w:rPr>
          <w:lang w:val="en" w:eastAsia="en"/>
        </w:rPr>
        <w:tab/>
      </w:r>
      <w:r>
        <w:rPr>
          <w:lang w:val="el" w:eastAsia="el"/>
        </w:rPr>
        <w:t>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pStyle w:val="StructureList1"/>
        <w:spacing w:before="120" w:after="0"/>
        <w:rPr>
          <w:lang w:val="el" w:eastAsia="el"/>
        </w:rPr>
      </w:pPr>
      <w:r>
        <w:rPr>
          <w:lang w:val="el" w:eastAsia="el"/>
        </w:rPr>
        <w:t>δ)</w:t>
      </w:r>
      <w:r>
        <w:rPr>
          <w:lang w:val="en" w:eastAsia="en"/>
        </w:rPr>
        <w:tab/>
      </w:r>
      <w:r>
        <w:rPr>
          <w:lang w:val="el" w:eastAsia="el"/>
        </w:rPr>
        <w:t>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t>
      </w:r>
      <w:hyperlink r:id="rId6" w:history="1">
        <w:r>
          <w:rPr>
            <w:rStyle w:val="Hyperlink"/>
            <w:color w:val="0000EE"/>
            <w:u w:color="0000EE"/>
            <w:lang w:val="el" w:eastAsia="el"/>
          </w:rPr>
          <w:t>www.espa</w:t>
        </w:r>
      </w:hyperlink>
      <w:r>
        <w:rPr>
          <w:lang w:val="el" w:eastAsia="el"/>
        </w:rPr>
        <w:t xml:space="preserve">. gr) και συγκεκριμένα στον σύνδεσμο </w:t>
      </w:r>
      <w:hyperlink r:id="rId7" w:history="1">
        <w:r>
          <w:rPr>
            <w:rStyle w:val="Hyperlink"/>
            <w:color w:val="0000EE"/>
            <w:u w:color="0000EE"/>
            <w:lang w:val="el" w:eastAsia="el"/>
          </w:rPr>
          <w:t>https://www.espa</w:t>
        </w:r>
      </w:hyperlink>
      <w:r>
        <w:rPr>
          <w:lang w:val="el" w:eastAsia="el"/>
        </w:rPr>
        <w:t>. gr/el/Pages/staticAntiFraudPolicy.aspx.</w:t>
      </w:r>
    </w:p>
    <w:p>
      <w:pPr>
        <w:pStyle w:val="MainText"/>
        <w:spacing w:before="120" w:after="0"/>
        <w:rPr>
          <w:lang w:val="el" w:eastAsia="el"/>
        </w:rPr>
      </w:pPr>
      <w:r>
        <w:rPr>
          <w:b/>
          <w:bCs/>
          <w:lang w:val="el" w:eastAsia="el"/>
        </w:rPr>
        <w:t>5.</w:t>
      </w:r>
      <w:r>
        <w:rPr>
          <w:lang w:val="el" w:eastAsia="el"/>
        </w:rPr>
        <w:t xml:space="preserve"> Η ΑΑΔΕ υποχρεούται να θέτει στη διάθεση της Γενικής Διεύθυνσης Οικονομικών Υπηρεσιών του Υπουργείου Οικονομικών κάθε πληροφορία σχετική με την εφαρμογή της παρούσας απόφασης.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ΟΡΙΣΜΟΣ ΠΡΟΒΛΗΜΑΤΙΚΗΣ ΕΠΙΧΕΙΡΗΣΗΣ</w:t>
      </w:r>
    </w:p>
    <w:p>
      <w:pPr>
        <w:spacing w:before="240" w:after="240"/>
        <w:rPr>
          <w:lang w:val="el" w:eastAsia="el"/>
        </w:rPr>
      </w:pPr>
      <w:r>
        <w:rPr>
          <w:lang w:val="el" w:eastAsia="el"/>
        </w:rPr>
        <w:t xml:space="preserve">Με βάση τον ως άρθρο 2 παρ. 18 του Καν. 651/2014 ορισμό, προβληματική είναι η επιχείρηση για την οποία συντρέχει </w:t>
      </w:r>
      <w:r>
        <w:rPr>
          <w:u w:val="single"/>
          <w:lang w:val="el" w:eastAsia="el"/>
        </w:rPr>
        <w:t xml:space="preserve">τουλάχιστον μία από τις ακόλουθες προϋποθέσεις: </w:t>
      </w:r>
      <w:r>
        <w:rPr>
          <w:lang w:val="el" w:eastAsia="el"/>
        </w:rPr>
        <w:t>α) εάν πρόκειται για εταιρεία περιορισμένης ευθύνης [πλην Μικρομεσαίας Επιχείρησης</w:t>
      </w:r>
      <w:r>
        <w:rPr>
          <w:sz w:val="30"/>
          <w:szCs w:val="30"/>
          <w:vertAlign w:val="superscript"/>
          <w:lang w:val="el" w:eastAsia="el"/>
        </w:rPr>
        <w:t xml:space="preserve">1 </w:t>
      </w:r>
      <w:r>
        <w:rPr>
          <w:lang w:val="el" w:eastAsia="el"/>
        </w:rPr>
        <w:t>(ΜΜΕ)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spacing w:before="240" w:after="240"/>
        <w:rPr>
          <w:lang w:val="el" w:eastAsia="el"/>
        </w:rPr>
      </w:pPr>
      <w:r>
        <w:rPr>
          <w:i/>
          <w:iCs/>
          <w:lang w:val="el" w:eastAsia="el"/>
        </w:rPr>
        <w:t xml:space="preserve">Όπως ορίζεται στο Παράρτημα Ι του Καν.651/2014. </w:t>
      </w:r>
      <w:r>
        <w:rPr>
          <w:lang w:val="el" w:eastAsia="el"/>
        </w:rPr>
        <w:t>δ) 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lang w:val="el" w:eastAsia="el"/>
        </w:rPr>
        <w:t>Ο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Α. ΠΕΡΙΕΧΟΜΕΝΟ ΑΙΤΗΣΗΣ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επιχείρηση δηλώνει αν αιτείται να λάβει την ενίσχυση βάσει του Προσωρινού Πλαισίου C/2020/1863, ή βάσει του Καν.1407/2013 (de minimis).</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που αιτείται ενίσχυσης δυνάμει του Προσωρινού Πλαισίου,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που έχει λάβει βάσει του τμήματος 3.1 του Προσωρινού Πλαισίου από άλλα προγράμματα, σε επίπεδο ενιαίας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6"/>
        <w:gridCol w:w="884"/>
        <w:gridCol w:w="884"/>
        <w:gridCol w:w="1176"/>
        <w:gridCol w:w="889"/>
        <w:gridCol w:w="883"/>
        <w:gridCol w:w="883"/>
        <w:gridCol w:w="821"/>
        <w:gridCol w:w="985"/>
        <w:gridCol w:w="10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w:t>
            </w:r>
          </w:p>
          <w:p>
            <w:pPr>
              <w:spacing w:before="240"/>
              <w:rPr>
                <w:b w:val="0"/>
                <w:bCs w:val="0"/>
                <w:i w:val="0"/>
                <w:iCs w:val="0"/>
                <w:smallCaps w:val="0"/>
                <w:color w:val="000000"/>
                <w:lang w:val="el" w:eastAsia="el"/>
              </w:rPr>
            </w:pPr>
            <w:r>
              <w:rPr>
                <w:b/>
                <w:bCs/>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ΕΓΚΡΙΤΙΚΗΣ</w:t>
            </w:r>
          </w:p>
          <w:p>
            <w:pPr>
              <w:spacing w:before="240"/>
              <w:rPr>
                <w:b w:val="0"/>
                <w:bCs w:val="0"/>
                <w:i w:val="0"/>
                <w:iCs w:val="0"/>
                <w:smallCaps w:val="0"/>
                <w:color w:val="000000"/>
                <w:lang w:val="el" w:eastAsia="el"/>
              </w:rPr>
            </w:pPr>
            <w:r>
              <w:rPr>
                <w:b/>
                <w:bCs/>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after="240"/>
              <w:rPr>
                <w:b w:val="0"/>
                <w:bCs w:val="0"/>
                <w:i w:val="0"/>
                <w:iCs w:val="0"/>
                <w:smallCaps w:val="0"/>
                <w:color w:val="000000"/>
                <w:lang w:val="el" w:eastAsia="el"/>
              </w:rPr>
            </w:pPr>
            <w:r>
              <w:rPr>
                <w:b/>
                <w:bCs/>
                <w:i w:val="0"/>
                <w:iCs w:val="0"/>
                <w:smallCaps w:val="0"/>
                <w:color w:val="000000"/>
                <w:lang w:val="el" w:eastAsia="el"/>
              </w:rPr>
              <w:t>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w:t>
            </w:r>
          </w:p>
          <w:p>
            <w:pPr>
              <w:spacing w:before="240"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after="240"/>
              <w:rPr>
                <w:b w:val="0"/>
                <w:bCs w:val="0"/>
                <w:i w:val="0"/>
                <w:iCs w:val="0"/>
                <w:smallCaps w:val="0"/>
                <w:color w:val="000000"/>
                <w:lang w:val="el" w:eastAsia="el"/>
              </w:rPr>
            </w:pPr>
            <w:r>
              <w:rPr>
                <w:b/>
                <w:bCs/>
                <w:i w:val="0"/>
                <w:iCs w:val="0"/>
                <w:smallCaps w:val="0"/>
                <w:color w:val="000000"/>
                <w:lang w:val="el" w:eastAsia="el"/>
              </w:rPr>
              <w:t>ΠΟΣΟ</w:t>
            </w:r>
          </w:p>
          <w:p>
            <w:pPr>
              <w:spacing w:before="240"/>
              <w:rPr>
                <w:b w:val="0"/>
                <w:bCs w:val="0"/>
                <w:i w:val="0"/>
                <w:iCs w:val="0"/>
                <w:smallCaps w:val="0"/>
                <w:color w:val="000000"/>
                <w:lang w:val="el" w:eastAsia="el"/>
              </w:rPr>
            </w:pPr>
            <w:r>
              <w:rPr>
                <w:b/>
                <w:bCs/>
                <w:i w:val="0"/>
                <w:iCs w:val="0"/>
                <w:smallCaps w:val="0"/>
                <w:color w:val="000000"/>
                <w:lang w:val="el" w:eastAsia="el"/>
              </w:rPr>
              <w:t>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γ. Ότι η επιχείρηση </w:t>
      </w:r>
      <w:r>
        <w:rPr>
          <w:i/>
          <w:iCs/>
          <w:lang w:val="el" w:eastAsia="el"/>
        </w:rPr>
        <w:t>δεν ήταν προβληματική στις 31.12.2019</w:t>
      </w:r>
      <w:r>
        <w:rPr>
          <w:lang w:val="el" w:eastAsia="el"/>
        </w:rPr>
        <w:t xml:space="preserve"> σύμφωνα με την έννοια του αρ. 2 σημείου 18 του </w:t>
      </w:r>
      <w:r>
        <w:rPr>
          <w:i/>
          <w:iCs/>
          <w:lang w:val="el" w:eastAsia="el"/>
        </w:rPr>
        <w:t>Κανονισμού 651/2014 (ΕΕ L 187/26.6.2014),</w:t>
      </w:r>
      <w:r>
        <w:rPr>
          <w:lang w:val="el" w:eastAsia="el"/>
        </w:rPr>
        <w:t xml:space="preserve"> σε επίπεδο αιτούσας επιχείρησης καθώς και σε επίπεδο ενιαίας επιχείρησης.</w:t>
      </w:r>
    </w:p>
    <w:p>
      <w:pPr>
        <w:spacing w:before="240" w:after="240"/>
        <w:rPr>
          <w:lang w:val="el" w:eastAsia="el"/>
        </w:rPr>
      </w:pPr>
      <w:r>
        <w:rPr>
          <w:lang w:val="el" w:eastAsia="el"/>
        </w:rPr>
        <w:t>δ.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ε.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lang w:val="el" w:eastAsia="el"/>
        </w:rPr>
        <w:t>στ.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ζ.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lang w:val="el" w:eastAsia="el"/>
        </w:rPr>
        <w:t>η. Αν η επιχείρηση είναι ΜΜΕ ή όχι, με βάση τον ορισμό που περιλαμβάνεται στο παράρτημα Ι του Καν. 651/2014.</w:t>
      </w:r>
    </w:p>
    <w:p>
      <w:pPr>
        <w:spacing w:before="240" w:after="240"/>
        <w:rPr>
          <w:lang w:val="el" w:eastAsia="el"/>
        </w:rPr>
      </w:pPr>
      <w:r>
        <w:rPr>
          <w:lang w:val="el" w:eastAsia="el"/>
        </w:rPr>
        <w:t>Θ. Ότι έχει λάβει γνώση του περιεχομένου της παρούσας απόφασης και ότι πληροί το σύνολο των προϋποθέσεων της παρούσας.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περίπτωση που αιτείται ενίσχυσης δυνάμει του Κανονισμού de minimis,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ήσσονος σημασίας που έχει λάβει σε επίπεδο ενιαίας επιχείρησης κατά την τριετία 2018-2020: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
        <w:gridCol w:w="794"/>
        <w:gridCol w:w="794"/>
        <w:gridCol w:w="1057"/>
        <w:gridCol w:w="799"/>
        <w:gridCol w:w="946"/>
        <w:gridCol w:w="793"/>
        <w:gridCol w:w="793"/>
        <w:gridCol w:w="738"/>
        <w:gridCol w:w="885"/>
        <w:gridCol w:w="9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w:t>
            </w:r>
          </w:p>
          <w:p>
            <w:pPr>
              <w:spacing w:before="240"/>
              <w:rPr>
                <w:b w:val="0"/>
                <w:bCs w:val="0"/>
                <w:i w:val="0"/>
                <w:iCs w:val="0"/>
                <w:smallCaps w:val="0"/>
                <w:color w:val="000000"/>
                <w:lang w:val="el" w:eastAsia="el"/>
              </w:rPr>
            </w:pPr>
            <w:r>
              <w:rPr>
                <w:b/>
                <w:bCs/>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ΕΓΚΡΙΤΙΚΗΣ</w:t>
            </w:r>
          </w:p>
          <w:p>
            <w:pPr>
              <w:spacing w:before="240"/>
              <w:rPr>
                <w:b w:val="0"/>
                <w:bCs w:val="0"/>
                <w:i w:val="0"/>
                <w:iCs w:val="0"/>
                <w:smallCaps w:val="0"/>
                <w:color w:val="000000"/>
                <w:lang w:val="el" w:eastAsia="el"/>
              </w:rPr>
            </w:pPr>
            <w:r>
              <w:rPr>
                <w:b/>
                <w:bCs/>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after="240"/>
              <w:rPr>
                <w:b w:val="0"/>
                <w:bCs w:val="0"/>
                <w:i w:val="0"/>
                <w:iCs w:val="0"/>
                <w:smallCaps w:val="0"/>
                <w:color w:val="000000"/>
                <w:lang w:val="el" w:eastAsia="el"/>
              </w:rPr>
            </w:pPr>
            <w:r>
              <w:rPr>
                <w:b/>
                <w:bCs/>
                <w:i w:val="0"/>
                <w:iCs w:val="0"/>
                <w:smallCaps w:val="0"/>
                <w:color w:val="000000"/>
                <w:lang w:val="el" w:eastAsia="el"/>
              </w:rPr>
              <w:t>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w:t>
            </w:r>
          </w:p>
          <w:p>
            <w:pPr>
              <w:spacing w:before="240"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u w:val="single"/>
          <w:lang w:val="el" w:eastAsia="el"/>
        </w:rPr>
        <w:t>Σημειώνονται τα εξής:</w:t>
      </w:r>
    </w:p>
    <w:p>
      <w:pPr>
        <w:pStyle w:val="StructureList1"/>
        <w:spacing w:before="120" w:after="0"/>
        <w:rPr>
          <w:lang w:val="el" w:eastAsia="el"/>
        </w:rPr>
      </w:pPr>
      <w:r>
        <w:rPr>
          <w:lang w:val="el" w:eastAsia="el"/>
        </w:rPr>
        <w:t>-</w:t>
      </w:r>
      <w:r>
        <w:rPr>
          <w:lang w:val="en" w:eastAsia="en"/>
        </w:rPr>
        <w:tab/>
      </w:r>
      <w:r>
        <w:rPr>
          <w:i/>
          <w:iCs/>
          <w:lang w:val="el" w:eastAsia="el"/>
        </w:rPr>
        <w:t>Η ενίσχυση θεωρείται ότι έχει χορηγηθεί κατά τον χρόνο παραχώρησης στην οικεία επιχείρηση του έννομου δικαιώματος λήψης της ενίσχυσης (ήτοι κατά την ημερομηνία έκδοσης εγκριτικής απόφασης), ανεξάρτητα από την ημερομηνία καταβολής της ενίσχυσης στην επιχείρηση.</w:t>
      </w:r>
    </w:p>
    <w:p>
      <w:pPr>
        <w:pStyle w:val="StructureList1"/>
        <w:spacing w:before="120" w:after="0"/>
        <w:rPr>
          <w:lang w:val="el" w:eastAsia="el"/>
        </w:rPr>
      </w:pPr>
      <w:r>
        <w:rPr>
          <w:lang w:val="el" w:eastAsia="el"/>
        </w:rPr>
        <w:t>-</w:t>
      </w:r>
      <w:r>
        <w:rPr>
          <w:lang w:val="en" w:eastAsia="en"/>
        </w:rPr>
        <w:tab/>
      </w:r>
      <w:r>
        <w:rPr>
          <w:i/>
          <w:iCs/>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δηλώνονται επίσης στον ως άνω πίνακα και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pStyle w:val="StructureList1"/>
        <w:spacing w:before="120" w:after="0"/>
        <w:rPr>
          <w:lang w:val="el" w:eastAsia="el"/>
        </w:rPr>
      </w:pPr>
      <w:r>
        <w:rPr>
          <w:lang w:val="el" w:eastAsia="el"/>
        </w:rPr>
        <w:t>-</w:t>
      </w:r>
      <w:r>
        <w:rPr>
          <w:lang w:val="en" w:eastAsia="en"/>
        </w:rPr>
        <w:tab/>
      </w:r>
      <w:r>
        <w:rPr>
          <w:i/>
          <w:iCs/>
          <w:lang w:val="el" w:eastAsia="el"/>
        </w:rPr>
        <w:t>Αν μια επιχείρηση έχει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γ. Ότι σε περίπτωση που δραστηριοποιείται σε περισσότερους του ενός τομείς για τους οποίους ισχύουν διαφορετικά ανώτατα όρια ενίσχυσης σύμφωνα με τον Καν. de minimis,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δ.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lang w:val="el" w:eastAsia="el"/>
        </w:rPr>
        <w:t>ε. Αν η επιχείρηση είναι ΜΜΕ ή όχι, με βάση τον ορισμό που περιλαμβάνεται στο παράρτημα Ι του Καν. 651/2014.</w:t>
      </w:r>
    </w:p>
    <w:p>
      <w:pPr>
        <w:spacing w:before="240" w:after="240"/>
        <w:rPr>
          <w:lang w:val="el" w:eastAsia="el"/>
        </w:rPr>
      </w:pPr>
      <w:r>
        <w:rPr>
          <w:lang w:val="el" w:eastAsia="el"/>
        </w:rPr>
        <w:t>στ.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Β. ΑΠΑΙΤΟΥΜΕΝΑ ΔΙΚΑΙΟΛΟΓΗΤΙΚΑ</w:t>
      </w:r>
    </w:p>
    <w:p>
      <w:pPr>
        <w:spacing w:before="240" w:after="240"/>
        <w:rPr>
          <w:lang w:val="el" w:eastAsia="el"/>
        </w:rPr>
      </w:pPr>
      <w:r>
        <w:rPr>
          <w:lang w:val="el" w:eastAsia="el"/>
        </w:rPr>
        <w:t>Η επιχείρηση εφόσον έχει ενισχυθεί βάσει του Προσωρινού Πλαισίου, οφείλει, σύμφωνα με τα προβλεπόμενα στην παρ.2 του άρθρου 9 να προσκομίσει τα κάτωθι δικαιολογητικά ως την 30η Νοεμβρίου 2020:</w:t>
      </w:r>
    </w:p>
    <w:p>
      <w:pPr>
        <w:pStyle w:val="MainText"/>
        <w:spacing w:before="120" w:after="0"/>
        <w:rPr>
          <w:lang w:val="el" w:eastAsia="el"/>
        </w:rPr>
      </w:pPr>
      <w:r>
        <w:rPr>
          <w:b/>
          <w:bCs/>
          <w:lang w:val="el" w:eastAsia="el"/>
        </w:rPr>
        <w:t>1.</w:t>
      </w:r>
      <w:r>
        <w:rPr>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w:t>
      </w:r>
    </w:p>
    <w:p>
      <w:pPr>
        <w:spacing w:before="240" w:after="240"/>
        <w:rPr>
          <w:lang w:val="el" w:eastAsia="el"/>
        </w:rPr>
      </w:pPr>
      <w:r>
        <w:rPr>
          <w:lang w:val="el" w:eastAsia="el"/>
        </w:rPr>
        <w:t>-Επιπλέον, εάν πρόκειται για επιχείρηση που δεν είναι ΜΜΕ,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ήταν κάτω του 1,0.</w:t>
      </w:r>
    </w:p>
    <w:p>
      <w:pPr>
        <w:pStyle w:val="MainText"/>
        <w:spacing w:before="120" w:after="0"/>
        <w:rPr>
          <w:lang w:val="el" w:eastAsia="el"/>
        </w:rPr>
      </w:pPr>
      <w:r>
        <w:rPr>
          <w:b/>
          <w:bCs/>
          <w:lang w:val="el" w:eastAsia="el"/>
        </w:rPr>
        <w:t>2.</w:t>
      </w:r>
      <w:r>
        <w:rPr>
          <w:lang w:val="el" w:eastAsia="el"/>
        </w:rPr>
        <w:t xml:space="preserve"> Πιστοποιητικό μη πτώχευσης, μη υποβολής αίτησης για πτώχευση, μη θέσης σε αναγκαστική διαχείριση και μη υποβολής αίτησης για θέση σε αναγκαστική διαχείριση.</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ΚΑΔ ΕΠΙΧΕΙΡΗΣΕΩΝ ΠΟΥ ΕΧΟΥΝ ΣΤΑΜΑΤΗΣΕΙ ΤΗ ΛΕΙΤΟΥΡΓΙΑ ΤΟΥΣ ΣΕ Ο,ΤΙ ΑΦΟΡΑ ΣΤΗΣΥΓΚΕΚΡΙΜΕΝΗ ΔΡΑΣΤΗΡΙΟΤΗΤΑ ΜΕ ΚΡΑΤΙΚΗ ΕΝΤΟΛΗ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ακατέργαστων αγροτικών προϊόντων π.δ.κ.α. (47.78.87), Λιανικό εμπόριο μηχανημάτων και εξοπλισμού π.δ.κ.α. (47.78.88),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κατ΄ οίκον (e-shop κτλ.)</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καντίνες αθλητικών εγκαταστάσεων,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σχολικές καντίνες (κυλικεία)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φοιτητικά εστιατόρια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 πλην αθλητών και ομάδων που είναι σε προετοιμασία ολυμπιακών αγώνων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πλην αθλητών και ομάδων που είναι σε προετοιμασία ολυμπιακών αγώνων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ψυχαγωγικών μη αθλητικών λεσχών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Aλλες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p>
            <w:pPr>
              <w:spacing w:before="240"/>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b/>
          <w:bCs/>
          <w:lang w:val="el" w:eastAsia="el"/>
        </w:rPr>
        <w:t>ΠΑΡΑΡΤΗΜΑ ΙV</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Μαΐου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Υφυπουργός Οικονομικών</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 TargetMode="External" /><Relationship Id="rId5" Type="http://schemas.openxmlformats.org/officeDocument/2006/relationships/hyperlink" Target="http://www.aade.gr" TargetMode="External" /><Relationship Id="rId6" Type="http://schemas.openxmlformats.org/officeDocument/2006/relationships/hyperlink" Target="http://www.espa" TargetMode="External" /><Relationship Id="rId7" Type="http://schemas.openxmlformats.org/officeDocument/2006/relationships/hyperlink" Target="https://www.esp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