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17239/Δ1.5936</w:t>
      </w:r>
    </w:p>
    <w:p>
      <w:pPr>
        <w:pStyle w:val="PreambelText"/>
        <w:spacing w:before="240" w:after="240"/>
        <w:rPr>
          <w:lang w:val="el" w:eastAsia="el"/>
        </w:rPr>
      </w:pPr>
      <w:r>
        <w:rPr>
          <w:b/>
          <w:bCs/>
          <w:lang w:val="el" w:eastAsia="el"/>
        </w:rPr>
        <w:t>Τροποποίηση της αριθμ. 40331/Δ1.13521/ 13.9.2019 (Β’ 3 520/19.9.2019)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δωδέκατο της από 01.05.2020 Πράξης Νομοθετικού Περιεχομένου (Α’ 90)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w:t>
      </w:r>
    </w:p>
    <w:p>
      <w:pPr>
        <w:pStyle w:val="PreambelText"/>
        <w:spacing w:before="240" w:after="240"/>
        <w:rPr>
          <w:lang w:val="el" w:eastAsia="el"/>
        </w:rPr>
      </w:pPr>
      <w:r>
        <w:rPr>
          <w:lang w:val="el" w:eastAsia="el"/>
        </w:rPr>
        <w:t>2. Το άρθρο ένατο, το άρθρο δέκατο παρ. 1, 2, 4, το άρθρο ενδέκατο υποπαρ. 2Α, 2Γ και το δεύτερο εδάφιο της υποπαρ. 2Ε, καθώς και το άρθρο δεύτερο της από 20.03.2020 Πράξης Νομοθετικού Περιεχομένου (Α’ 68)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η οποία κυρώθηκε με το άρθρο 1 του ν. 4683/2020 (Α’ 83)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w:t>
      </w:r>
    </w:p>
    <w:p>
      <w:pPr>
        <w:pStyle w:val="PreambelText"/>
        <w:spacing w:before="240" w:after="240"/>
        <w:rPr>
          <w:lang w:val="el" w:eastAsia="el"/>
        </w:rPr>
      </w:pPr>
      <w:r>
        <w:rPr>
          <w:lang w:val="el" w:eastAsia="el"/>
        </w:rPr>
        <w:t>3. Το άρθρο 4 παρ. 1 περ. β’, παρ. 2, παρ. 3 περ. α και περ. στ’ της από 11.03.2020 Πράξης Νομοθετικού Περιεχομένου (Α’ 55) «Κατεπείγοντα μέτρα αντιμετώπισης των αρνητικών συνεπειών της εμφάνισης του κορωνοϊού COVID-19 και της ανάγκης περιορισμού της διάδοσής του», όπως ισχύει, η οποία κυρώθηκε με το άρθρο 2 του ν. 4682/2020 (Α’ 76) «Κύρωση: α) της από 25.2.2020 Π.Ν.Π. «Κατεπείγοντα μέτρα αποφυγής και περιορισμού της διάδοσης κορωνοϊού» (Α’ 42), β) της από 11.3.2020 Π.Ν.Π. «Κατεπείγοντα μέτρα αντιμετώπισης των αρνητικών συνεπειών της εμφάνισης του κορωνοϊού COVID-19 και της ανάγκης περιορισμού της διάδοσής του» (Α’ 55) και γ) της από 14.3.2020 Π.Ν.Π. «Κατεπείγοντα μέτρα αντιμετώπισης της ανάγκης περιορισμού της διασποράς του κορωνοϊού COVID-19» (A' 64) και άλλες διατάξεις».</w:t>
      </w:r>
    </w:p>
    <w:p>
      <w:pPr>
        <w:pStyle w:val="PreambelText"/>
        <w:spacing w:before="240" w:after="240"/>
        <w:rPr>
          <w:lang w:val="el" w:eastAsia="el"/>
        </w:rPr>
      </w:pPr>
      <w:r>
        <w:rPr>
          <w:lang w:val="el" w:eastAsia="el"/>
        </w:rPr>
        <w:t>4. Το άρθρο δέκατο τρίτο παρ. 1, 2, 4 της από 14.03.2020 Πράξης Νομοθετικού Περιεχομένου (Α’ 64) «Κατεπείγοντα μέτρα αντιμετώπισης της ανάγκης περιορισμού της διασποράς του κορωνοϊού COVID-19», η οποία κυρώθηκε με το άρθρο 3 του ν. 4682/2020 (Α’ 76) «Κύρωση: α) της από 25.2.2020 Π.Ν.Π. «Κατεπείγοντα μέτρα αποφυγής και περιορισμού της διάδοσης κορωνοϊού» (Α’ 42), β) της από 11.3.2020 Π.Ν.Π. «Κατεπείγοντα μέτρα αντιμετώπισης των αρνητικών συνεπειών της εμφάνισης του κορωνοϊού COVID-19 και της ανάγκης περιορισμού της διάδοσής του» (Α’ 55) και γ) της από 14.3.2020 Π.Ν.Π. «Κατεπείγοντα μέτρα αντιμετώπισης της ανάγκης περιορισμού της διασποράς του κορωνοϊού COVID-19» (A’ 64) και άλλες διατάξεις».</w:t>
      </w:r>
    </w:p>
    <w:p>
      <w:pPr>
        <w:pStyle w:val="PreambelText"/>
        <w:spacing w:before="240" w:after="240"/>
        <w:rPr>
          <w:lang w:val="el" w:eastAsia="el"/>
        </w:rPr>
      </w:pPr>
      <w:r>
        <w:rPr>
          <w:lang w:val="el" w:eastAsia="el"/>
        </w:rPr>
        <w:t>5. Το άρθ. 17 παρ. 6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6. Την αρ. πρωτ. 14556/448/7-4-2020 κοινή υπουργική απόφαση (Β’ 1208/7-4-2020) «Παράταση της ισχύος των έκτακτων και προσωρινών μέτρων στην αγορά εργασίας για την αντιμετώπιση και τον περιορισμό της διάδοσης του κορωνοϊού COVID-19 ως προς την οργάνωση του χρόνου εργασίας και της άδειας ειδικού σκοπού του άρθρου 4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ισχύει.</w:t>
      </w:r>
    </w:p>
    <w:p>
      <w:pPr>
        <w:pStyle w:val="PreambelText"/>
        <w:spacing w:before="240" w:after="240"/>
        <w:rPr>
          <w:lang w:val="el" w:eastAsia="el"/>
        </w:rPr>
      </w:pPr>
      <w:r>
        <w:rPr>
          <w:lang w:val="el" w:eastAsia="el"/>
        </w:rPr>
        <w:t>7. Την αρ. πρωτ. Α. 1053/2020 απόφαση (ΦΕΚ 949 Β’) του Υφυπουργού Οικονομικών «Καθορισμός των λεπτομερειών εφαρμογής του άρθρου 2 της από 11.03.2020 Π.Ν.Π. (ΦΕΚ 55Α’)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8. Την αρ. πρωτ. Α. 1054/2020 απόφαση Υφυπουργού Οικονομικών (ΦΕΚ 950 Β’) «Καθορισμός των λεπτομερειών εφαρμογής του άρθρου 1 της από 11.03.2020 Π.Ν.Π. (ΦΕΚ 55Α’),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pStyle w:val="PreambelText"/>
        <w:spacing w:before="240" w:after="240"/>
        <w:rPr>
          <w:lang w:val="el" w:eastAsia="el"/>
        </w:rPr>
      </w:pPr>
      <w:r>
        <w:rPr>
          <w:lang w:val="el" w:eastAsia="el"/>
        </w:rPr>
        <w:t>9. Την αριθμ. Δ1α/Γ.Π.οικ. 19024/2020 απόφαση (ΦΕΚ 915/Β’/17.3.2020)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COVID- 19».</w:t>
      </w:r>
    </w:p>
    <w:p>
      <w:pPr>
        <w:pStyle w:val="PreambelText"/>
        <w:spacing w:before="240" w:after="240"/>
        <w:rPr>
          <w:lang w:val="el" w:eastAsia="el"/>
        </w:rPr>
      </w:pPr>
      <w:r>
        <w:rPr>
          <w:lang w:val="el" w:eastAsia="el"/>
        </w:rPr>
        <w:t>10. Τη με αριθμ. 12998/232/23.3.2020 κοινή υπουργική απόφαση (Β’ 1078/28.3.2020) «Μέτρα στήριξης επιχειρήσεων-εργοδοτών του ιδιωτικού τομέα, που έχουν αριθμό Μητρώου εργοδότη (ΑΜΕ) στον e- 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w:t>
      </w:r>
    </w:p>
    <w:p>
      <w:pPr>
        <w:pStyle w:val="PreambelText"/>
        <w:spacing w:before="240" w:after="240"/>
        <w:rPr>
          <w:lang w:val="el" w:eastAsia="el"/>
        </w:rPr>
      </w:pPr>
      <w:r>
        <w:rPr>
          <w:lang w:val="el" w:eastAsia="el"/>
        </w:rPr>
        <w:t>11. Το άρθ.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12.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13. Το άρθ.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14. Τις παρ. 2 και 3 του άρθ.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15.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17. Το π.δ. 83/2019 «Διορισμός Αντιπροέδρου της Κυβέρνησης, Υπουργών, Αναπληρωτών Υπουργών και Υφυπουργών»(Α’ 121).</w:t>
      </w:r>
    </w:p>
    <w:p>
      <w:pPr>
        <w:pStyle w:val="PreambelText"/>
        <w:spacing w:before="240" w:after="240"/>
        <w:rPr>
          <w:lang w:val="el" w:eastAsia="el"/>
        </w:rPr>
      </w:pPr>
      <w:r>
        <w:rPr>
          <w:lang w:val="el" w:eastAsia="el"/>
        </w:rPr>
        <w:t>18. Το π.δ. 84/2019 «Σύσταση και κατάργηση Γενικών Γραμματειών και Ειδικών Γραμματειών/Ενιαίων Διοικητικών Τομέων» (Α’ 123).</w:t>
      </w:r>
    </w:p>
    <w:p>
      <w:pPr>
        <w:pStyle w:val="PreambelText"/>
        <w:spacing w:before="240" w:after="240"/>
        <w:rPr>
          <w:lang w:val="el" w:eastAsia="el"/>
        </w:rPr>
      </w:pPr>
      <w:r>
        <w:rPr>
          <w:lang w:val="el" w:eastAsia="el"/>
        </w:rPr>
        <w:t>19.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20. Τις διατάξεις περί υπερωριακής απασχόλησης των εργαζομένων {και ιδίως των άρθ. 5 και 7 του α.ν. 547/1937 (Α’ 98), του άρθ. 3 του β.δ. 28-1/4.2.1938 (Α’ 35), του άρθ. 3 του β.δ. 14-8/8.9.1950 (Α’202), του άρθ. 3 παρ. 1 του ν.δ. 515/1970 (Α’ 95), του άρθ. 18 του π.δ. 8-4/1932 (Α’ 114), του άρθ. 12 του ν.δ. 1037/1971 (Α’ 235), και των υπ’ αριθμ. 6958/13.2.1960 (Β’ 96), 63323/29.9.1961, (Β’ 350), 39431/6.6.1961 (Β’ 234) και 65982/13.1.1966 (Β’ 600) υπουργικών αποφάσεων}.</w:t>
      </w:r>
    </w:p>
    <w:p>
      <w:pPr>
        <w:pStyle w:val="PreambelText"/>
        <w:spacing w:before="240" w:after="240"/>
        <w:rPr>
          <w:lang w:val="el" w:eastAsia="el"/>
        </w:rPr>
      </w:pPr>
      <w:r>
        <w:rPr>
          <w:lang w:val="el" w:eastAsia="el"/>
        </w:rPr>
        <w:t>21. Τον α.ν. 1846/1951 «Περί κοινωνικών ασφαλίσεων» (Α’ 179) και ιδίως τα άρθρα 8 και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22. Το άρθ. 5 παρ. 2 του ν.δ. 2656/1953 «Περί Οργανώσεως και ελέγχου της αγοράς εργασίας» (Α’ 299).</w:t>
      </w:r>
    </w:p>
    <w:p>
      <w:pPr>
        <w:pStyle w:val="PreambelText"/>
        <w:spacing w:before="240" w:after="240"/>
        <w:rPr>
          <w:lang w:val="el" w:eastAsia="el"/>
        </w:rPr>
      </w:pPr>
      <w:r>
        <w:rPr>
          <w:lang w:val="el" w:eastAsia="el"/>
        </w:rPr>
        <w:t>23. Το άρθ. 9 παρ. 1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24.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25.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26.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των Δεδομένων) (ΕΕ L 119/4.5.2016, σελ. 1-88).</w:t>
      </w:r>
    </w:p>
    <w:p>
      <w:pPr>
        <w:pStyle w:val="PreambelText"/>
        <w:spacing w:before="240" w:after="240"/>
        <w:rPr>
          <w:lang w:val="el" w:eastAsia="el"/>
        </w:rPr>
      </w:pPr>
      <w:r>
        <w:rPr>
          <w:lang w:val="el" w:eastAsia="el"/>
        </w:rPr>
        <w:t>27. Τον ν. 2956/2001 «Αναδιάρθρωση Ο.Α.Ε.Δ. και άλλες διατάξεις» (Α’ 258).</w:t>
      </w:r>
    </w:p>
    <w:p>
      <w:pPr>
        <w:pStyle w:val="PreambelText"/>
        <w:spacing w:before="240" w:after="240"/>
        <w:rPr>
          <w:lang w:val="el" w:eastAsia="el"/>
        </w:rPr>
      </w:pPr>
      <w:r>
        <w:rPr>
          <w:lang w:val="el" w:eastAsia="el"/>
        </w:rPr>
        <w:t>28.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29.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30.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31.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32. Τα άρθ.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33. Το άρθ. 31, την παρ. 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34. Τις υποπαραγράφους ΙΑ. 11 έως ΙΑ. 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35. Την υποπαράγραφο ΙΔ.1 και την υποπαράγραφο ΙΑ.3 του άρθρου πρώτου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36.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37. Το άρθ. 13 του π.δ. της 27.6/4.7.1932 «Περί Κωδικοποιήσεως και συμπληρώσεως των περί οκταώρου εργασίας διατάξεων» (Α’ 212), σε συνδυασμό με το άρθ. 13 παρ. 1-7 του ν.δ. 1037/1971 (Α’ 235).</w:t>
      </w:r>
    </w:p>
    <w:p>
      <w:pPr>
        <w:pStyle w:val="PreambelText"/>
        <w:spacing w:before="240" w:after="240"/>
        <w:rPr>
          <w:lang w:val="el" w:eastAsia="el"/>
        </w:rPr>
      </w:pPr>
      <w:r>
        <w:rPr>
          <w:lang w:val="el" w:eastAsia="el"/>
        </w:rPr>
        <w:t>38. Την οικ. 51524/1262/7-11-2019 (Β’ 4173/14.11.2019) απόφαση του Υπουργού Εργασίας και Κοινωνικών Υποθέσεων.</w:t>
      </w:r>
    </w:p>
    <w:p>
      <w:pPr>
        <w:pStyle w:val="PreambelText"/>
        <w:spacing w:before="240" w:after="240"/>
        <w:rPr>
          <w:lang w:val="el" w:eastAsia="el"/>
        </w:rPr>
      </w:pPr>
      <w:r>
        <w:rPr>
          <w:lang w:val="el" w:eastAsia="el"/>
        </w:rPr>
        <w:t>39. Την υπ' αριθμ.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αριθμ. 989/1.9.1980 (Β’ 905) και υπ’ αριθμ. 128/21.1.1986 (Β’ 73) αποφάσεις του Υπουργού Εργασίας.</w:t>
      </w:r>
    </w:p>
    <w:p>
      <w:pPr>
        <w:pStyle w:val="PreambelText"/>
        <w:spacing w:before="240" w:after="240"/>
        <w:rPr>
          <w:lang w:val="el" w:eastAsia="el"/>
        </w:rPr>
      </w:pPr>
      <w:r>
        <w:rPr>
          <w:lang w:val="el" w:eastAsia="el"/>
        </w:rPr>
        <w:t>40. Τη με αριθ.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41. Την με αριθ.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42. Τη με αριθ.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43. Τη με αριθ.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44. Τη με αριθ. 16802/667/27-8-2010 απόφαση των Υπουργών Παιδείας, Διά Βίου Μάθησης και Θρησκευμάτων,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45. Τη με αριθ.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46. Τη με αριθ.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 60615/Δ4/7-4-2017 (Β’ 1441) και Φ4/117002/Δ4/11-7-2018 (Β’ 2784) όμοιες.</w:t>
      </w:r>
    </w:p>
    <w:p>
      <w:pPr>
        <w:pStyle w:val="PreambelText"/>
        <w:spacing w:before="240" w:after="240"/>
        <w:rPr>
          <w:lang w:val="el" w:eastAsia="el"/>
        </w:rPr>
      </w:pPr>
      <w:r>
        <w:rPr>
          <w:lang w:val="el" w:eastAsia="el"/>
        </w:rPr>
        <w:t>47. Τη με αριθ. ΚΙ/118932/13-7-2017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αριθμ. Κ1/85151/2019 όμοιά της (Β’ 2117).</w:t>
      </w:r>
    </w:p>
    <w:p>
      <w:pPr>
        <w:pStyle w:val="PreambelText"/>
        <w:spacing w:before="240" w:after="240"/>
        <w:rPr>
          <w:lang w:val="el" w:eastAsia="el"/>
        </w:rPr>
      </w:pPr>
      <w:r>
        <w:rPr>
          <w:lang w:val="el" w:eastAsia="el"/>
        </w:rPr>
        <w:t>48. Τη με αριθ.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Έτους-Τάξη Μαθητείας» αρμοδιότητας Υπουργείου Παιδείας, Έρευνας και Θρησκευμάτων» (Β’ 4191), όπως τροποποιήθηκε με την Φ7/35243/Δ4/6-3-2019 όμοια της (Β’ 866).</w:t>
      </w:r>
    </w:p>
    <w:p>
      <w:pPr>
        <w:pStyle w:val="PreambelText"/>
        <w:spacing w:before="240" w:after="240"/>
        <w:rPr>
          <w:lang w:val="el" w:eastAsia="el"/>
        </w:rPr>
      </w:pPr>
      <w:r>
        <w:rPr>
          <w:lang w:val="el" w:eastAsia="el"/>
        </w:rPr>
        <w:t>49. Τη με αριθ. 17008/307/12-4-2019 απόφαση των Υπουργών Οικονομίας και Ανάπτυξης, Παιδείας, Έρευνας και Θρησκευμάτων,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w:t>
      </w:r>
    </w:p>
    <w:p>
      <w:pPr>
        <w:pStyle w:val="PreambelText"/>
        <w:spacing w:before="240" w:after="240"/>
        <w:rPr>
          <w:lang w:val="el" w:eastAsia="el"/>
        </w:rPr>
      </w:pPr>
      <w:r>
        <w:rPr>
          <w:lang w:val="el" w:eastAsia="el"/>
        </w:rPr>
        <w:t>50. Το άρθρο 5 του ν. 3846/2010 (Α’ 66) «Εγγυήσεις για την εργασιακή ασφάλεια και άλλες διατάξεις».</w:t>
      </w:r>
    </w:p>
    <w:p>
      <w:pPr>
        <w:pStyle w:val="PreambelText"/>
        <w:spacing w:before="240" w:after="240"/>
        <w:rPr>
          <w:lang w:val="el" w:eastAsia="el"/>
        </w:rPr>
      </w:pPr>
      <w:r>
        <w:rPr>
          <w:lang w:val="el" w:eastAsia="el"/>
        </w:rPr>
        <w:t>51. Το άρθρο 4 της Εθνικής Γενικής Συλλογικής Σύμβασης Εργασίας ετών 2006 και 2007, με την οποία η χώρα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52.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53. Την αριθμ. υπουργική απόφαση 40331/Δ1.13521/ 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με τις αριθμ. 44568/Δ1.14795/7.10.2019 (Β’ 3751/10.10.2019), αριθμ. 54286/Δ1.17642/21.11.2019 (Β’ 4293/27.11-2019), αριθ. 12338/Δ1.4372/12-3-2020 (Β’ 854/13-3-2020), αριθμ. 13031/Δ1.4551/23-3-2020 (Β’ 994/23-3-2020), αριθμ. 13272/Δ1.4607/30-3-2020 (Β’ 1131/2-4-2020), αριθμ. 13564/Δ1.4770/30-3-2020 (Β’ 161/3-4-2020) και αριθμ. 14638/Δ1.4991/9-4-2020 (Β’ 1424/15.4.2020) υπουργικές αποφάσεις και ισχύει.</w:t>
      </w:r>
    </w:p>
    <w:p>
      <w:pPr>
        <w:pStyle w:val="PreambelText"/>
        <w:spacing w:before="240" w:after="240"/>
        <w:rPr>
          <w:lang w:val="el" w:eastAsia="el"/>
        </w:rPr>
      </w:pPr>
      <w:r>
        <w:rPr>
          <w:lang w:val="el" w:eastAsia="el"/>
        </w:rPr>
        <w:t>54. Την αναστολή της υποχρέωσης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όπως αυτή προκύπτει από την από 11.3.2020 (Α’ 55)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με την οποία ανεστάλη κατ' ουσίαν η λειτουργία των ακόλουθων εντύπων του ΠΣ Εργάνη: Ε4 Συμπληρωματικός ωραρίου, Ε8 Αναγγελία υπερεργασίας ή νόμιμης υπερωριακής απασχόλησης, Ε12-ε-ΟΓΚΟΔΟΜΩ: Αναγγελία του Απασχολούμενου Προσωπικού επί εκτέλεσης οικοδομικής εργασίας ή τεχνικού έργου.</w:t>
      </w:r>
    </w:p>
    <w:p>
      <w:pPr>
        <w:pStyle w:val="PreambelText"/>
        <w:spacing w:before="240" w:after="240"/>
        <w:rPr>
          <w:lang w:val="el" w:eastAsia="el"/>
        </w:rPr>
      </w:pPr>
      <w:r>
        <w:rPr>
          <w:lang w:val="el" w:eastAsia="el"/>
        </w:rPr>
        <w:t>55. Τη θέσπιση μηχανισμού στήριξης των εργαζομένων σε επιχειρήσεις-εργοδότες,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56.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57.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58.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Τροποποιείται η αριθ. πρωτ. 40331/Δ1.13521/13.9.2019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MainText"/>
        <w:spacing w:before="120" w:after="0"/>
        <w:rPr>
          <w:lang w:val="el" w:eastAsia="el"/>
        </w:rPr>
      </w:pPr>
      <w:r>
        <w:rPr>
          <w:b/>
          <w:bCs/>
          <w:lang w:val="el" w:eastAsia="el"/>
        </w:rPr>
        <w:t>1.</w:t>
      </w:r>
      <w:r>
        <w:rPr>
          <w:lang w:val="el" w:eastAsia="el"/>
        </w:rPr>
        <w:t xml:space="preserve"> Στο άρθρο 14 «Μεταβατικές διατάξεις - Εξαιρέσεις», η παράγραφος Γ’ της περίπτωσης 14.11 αντικαθίσταται ως εξής:</w:t>
      </w:r>
    </w:p>
    <w:p>
      <w:pPr>
        <w:spacing w:before="240" w:after="240"/>
        <w:rPr>
          <w:lang w:val="el" w:eastAsia="el"/>
        </w:rPr>
      </w:pPr>
      <w:r>
        <w:rPr>
          <w:lang w:val="el" w:eastAsia="el"/>
        </w:rPr>
        <w:t>«Γ. Πρόβλεψη εντύπου για την υποβολή της άδειας ειδικού σκοπού του άρθρου 4 παρ. 3α της από 11.3.2020 Πράξης Νομοθετικού Περιεχομένου (A’ 55).</w:t>
      </w:r>
    </w:p>
    <w:p>
      <w:pPr>
        <w:spacing w:before="240" w:after="240"/>
        <w:rPr>
          <w:lang w:val="el" w:eastAsia="el"/>
        </w:rPr>
      </w:pPr>
      <w:r>
        <w:rPr>
          <w:lang w:val="el" w:eastAsia="el"/>
        </w:rPr>
        <w:t>α) Ο εργοδότης γνωστοποιεί στο Πληροφοριακό Σύστημα «ΕΡΓΑΝΗ» του Υπουργείου Εργασίας και Κοινωνικών Υποθέσεων όσους εργαζομένους του έκαναν χρήση της άδειας της παρ. 3α του άρ. 4 της από 11.03.2020 Πράξης Νομοθετικού Περιεχομένου (Α’ 55). Η γνωστοποίηση αυτή γίνεται μέσω του δημιουργούμενου με την παρούσα προσωρινού εντύπου ειδικού σκοπού του ΠΣ Εργάνη «Έντυπο 11.1- Απολογιστικό Έντυπο Γνωστοποίησης Στοιχείων Λήψης Άδειας Ειδικού Σκοπού και Συσχετιζόμενης Κανονικής Άδειας του άρθρου 4 παρ. 3στ της από 11.3.2020 Πράξης Νομοθετικού Περιεχομένου (Α’ 55), ειδικά για τους μήνες Μάρτιο 2020, Απρίλιο 2020 και Μάιο 2020 συνολικά κατά το πρώτο δεκαπενθήμερο του μηνός Ιουνίου 2020.</w:t>
      </w:r>
    </w:p>
    <w:p>
      <w:pPr>
        <w:spacing w:before="240" w:after="240"/>
        <w:rPr>
          <w:lang w:val="el" w:eastAsia="el"/>
        </w:rPr>
      </w:pPr>
      <w:r>
        <w:rPr>
          <w:lang w:val="el" w:eastAsia="el"/>
        </w:rPr>
        <w:t>β) Σε περίπτωση νέας παράτασης του μέτρου της άδειας ειδικού σκοπού, η γνωστοποίηση στοιχείων λήψης άδειας ειδικού σκοπού και συσχετιζόμενης κανονικής άδειας, γίνεται κατά το πρώτο δεκαπενθήμερο του επόμενου μήνα της χρήσης της άδειας ειδικού σκοπού με το ανωτέρω απολογιστικό έντυπο».</w:t>
      </w:r>
    </w:p>
    <w:p>
      <w:pPr>
        <w:pStyle w:val="MainText"/>
        <w:spacing w:before="120" w:after="0"/>
        <w:rPr>
          <w:lang w:val="el" w:eastAsia="el"/>
        </w:rPr>
      </w:pPr>
      <w:r>
        <w:rPr>
          <w:b/>
          <w:bCs/>
          <w:lang w:val="el" w:eastAsia="el"/>
        </w:rPr>
        <w:t>2.</w:t>
      </w:r>
      <w:r>
        <w:rPr>
          <w:lang w:val="el" w:eastAsia="el"/>
        </w:rPr>
        <w:t xml:space="preserve"> Στο άρθρο 14 «Μεταβατικές διατάξεις - Εξαιρέσεις», προστίθεται περίπτωση 14.14, ως εξής: «14.14. Σε εφαρμογή του άρθρου δωδέκατου της από 01.05.2020 Πράξης Νομοθετικού Περιεχομένου (Α’ 90), οι επιχειρήσεις-εργοδότες των οποίων η επιχειρηματική δραστηριότητα είτε έχει ανασταλεί με εντολή δημόσιας αρχής είτε πλήττεται σημαντικά, βάσει των οριζομένων από το Υπουργείο Οικονομικών Κωδικών Αριθμών Δραστηριότητας (ΚΑΔ), που επιλέξουν να κάνουν χρήση της προβλεπόμενης στην παρ. 1 προσωρινής ανάκλησης της αναστολής των συμβάσεων εργασίας εργαζομένων τους για έκτακτες, κατεπείγουσες, μη αναβαλλόμενες και ανελαστικές ανάγκες, υποχρεούνται να το γνωστοποιήσουν στο έντυπο του ΠΣ ΕΡΓΑΝΗ «ΥΠΕΥΘΥΝΗ ΔΗΛΩΣΗ ΠΡΟΣΩΡΙΝΗΣ ΑΝΑΚΛΗΣΗΣ ΑΝΑΣΤΟΛΗΣ ΣΥΜΒΑΣΗΣ ΓΙΑ ΕΚΤΑΚΤΕΣ, ΚΑΤΕΠΕΙΓΟΥΣΕΣ, ΜΗ ΑΝΑΒΑΛΛΟΜΕΝΕΣ ΚΑΙ ΑΝΕΛΑΣΤΙΚΕΣ ΑΝΑΓΚΕΣ», σε κάθε περίπτωση πριν από την έναρξη πραγματοποίησης της παρεχόμενης έκτακτης εργασίας. Μετά από τη λήξη της προσωρινής ανάκλησης της αναστολής της σύμβασης εργασίας, συνεχίζεται η αναστολή της σύμβασης μέχρι της συμπληρώσεως του πλήρους χρονικού διαστήματος της. Για δε το χρονικό διάστημα της προσωρινής ανάκλησης της αναστολής της σύμβασης εργασίας κατ' εφαρμογή του παρόντος, υπόχρεος καταβολής των αποδοχών των εργαζομένων είναι ο εργοδότης.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Συμπληρώνεται με το ακόλουθο έντυπο, το παράρτημα της αριθμ. 40331/Δ1.13521/13.9.2019 (Β’ 3520/ 19.9.2019)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StructureList1"/>
        <w:spacing w:before="120" w:after="0"/>
        <w:rPr>
          <w:lang w:val="el" w:eastAsia="el"/>
        </w:rPr>
      </w:pPr>
      <w:r>
        <w:rPr>
          <w:lang w:val="el" w:eastAsia="el"/>
        </w:rPr>
        <w:t>i)</w:t>
      </w:r>
      <w:r>
        <w:rPr>
          <w:lang w:val="en" w:eastAsia="en"/>
        </w:rPr>
        <w:tab/>
      </w:r>
      <w:r>
        <w:rPr>
          <w:lang w:val="el" w:eastAsia="el"/>
        </w:rPr>
        <w:t>Προστίθεται ειδικό έντυπο «ΥΠΕΥΘΥΝΗ ΔΗΛΩΣΗ ΠΡΟΣΩΡΙΝΗΣ ΑΝΑΚΛΗΣΗΣ ΑΝΑΣΤΟΛΗΣ ΣΥΜΒΑΣΗΣ ΓΙΑ ΕΚΤΑΚΤΕΣ, ΚΑΤΕΠΕΙΓΟΥΣΕΣ, ΜΗ ΑΝΑΒΑΛΛΟΜΕΝΕΣ ΚΑΙ ΑΝΕΛΑΣΤΙΚΕΣ ΑΝΑΓΚΕΣ»,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ΥΠΕΥΘΥΝΗ ΔΗΛΩΣΗ ΠΡΟΣΩΡΙΝΗΣ ΑΝΑΚΛΗΣΗΣ ΑΝΑΣΤΟΛΗΣ ΣΥΜΒΑΣΗΣ ΓΙΑ ΕΚΤΑΚΤΕΣ, ΚΑΤΕΠΕΙΓΟΥΣΕΣ, ΜΗ ΑΝΑΒΑΛΛΟΜΕΝΕΣ ΚΑΙ ΑΝΕΛΑΣΤΙΚΕΣ ΑΝΑΓΚΕΣ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244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Α.Μ.Ε.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ΔΥΟ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ΟΝΟΜΑΣΙΑ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ΠΕΡΙΓΡΑΦΗ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7"/>
        <w:gridCol w:w="57"/>
        <w:gridCol w:w="472"/>
        <w:gridCol w:w="4792"/>
        <w:gridCol w:w="47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spacing w:before="240" w:after="240"/>
        <w:rPr>
          <w:lang w:val="el" w:eastAsia="el"/>
        </w:rPr>
      </w:pPr>
      <w:r>
        <w:rPr>
          <w:b/>
          <w:bCs/>
          <w:lang w:val="el" w:eastAsia="el"/>
        </w:rPr>
        <w:t>Γ. ΠΕΡΙΕΧΟΜΕΝΟ ΔΗΛΩΣΗΣ</w:t>
      </w:r>
    </w:p>
    <w:p>
      <w:pPr>
        <w:spacing w:before="240" w:after="240"/>
        <w:rPr>
          <w:lang w:val="el" w:eastAsia="el"/>
        </w:rPr>
      </w:pPr>
      <w:r>
        <w:rPr>
          <w:lang w:val="el" w:eastAsia="el"/>
        </w:rPr>
        <w:t>Με ατομική μου ευθύνη και γνωρίζοντας τις κυρώσεις, που προβλέπονται από τις διατάξεις της παρ. 6 του άρθρου 22 του Ν. 1599/1986</w:t>
      </w:r>
      <w:r>
        <w:rPr>
          <w:rStyle w:val="Hyperlink"/>
          <w:color w:val="000000"/>
          <w:sz w:val="20"/>
          <w:szCs w:val="20"/>
          <w:u w:val="none" w:color="0000EE"/>
          <w:vertAlign w:val="superscript"/>
          <w:lang w:val="el" w:eastAsia="el"/>
        </w:rPr>
        <w:footnoteReference w:id="3"/>
      </w:r>
      <w:r>
        <w:rPr>
          <w:lang w:val="el" w:eastAsia="el"/>
        </w:rPr>
        <w:t xml:space="preserve">, με την παρούσα </w:t>
      </w:r>
      <w:r>
        <w:rPr>
          <w:b/>
          <w:bCs/>
          <w:lang w:val="el" w:eastAsia="el"/>
        </w:rPr>
        <w:t xml:space="preserve">ΔΗΛΩΝΩ ΥΠΕΥΘΥΝΑ </w:t>
      </w:r>
      <w:r>
        <w:rPr>
          <w:lang w:val="el" w:eastAsia="el"/>
        </w:rPr>
        <w:t xml:space="preserve">ότι ανακαλώ προσωρινά την </w:t>
      </w:r>
      <w:r>
        <w:rPr>
          <w:i/>
          <w:iCs/>
          <w:lang w:val="el" w:eastAsia="el"/>
        </w:rPr>
        <w:t>αναστολή</w:t>
      </w:r>
      <w:r>
        <w:rPr>
          <w:lang w:val="el" w:eastAsia="el"/>
        </w:rPr>
        <w:t xml:space="preserve"> συμβάσεων εργαζομένων </w:t>
      </w:r>
      <w:r>
        <w:rPr>
          <w:i/>
          <w:iCs/>
          <w:lang w:val="el" w:eastAsia="el"/>
        </w:rPr>
        <w:t>μου</w:t>
      </w:r>
      <w:r>
        <w:rPr>
          <w:b/>
          <w:bCs/>
          <w:lang w:val="el" w:eastAsia="el"/>
        </w:rPr>
        <w:t xml:space="preserve"> λόγω </w:t>
      </w:r>
    </w:p>
    <w:p>
      <w:pPr>
        <w:spacing w:before="240" w:after="240"/>
        <w:rPr>
          <w:lang w:val="el" w:eastAsia="el"/>
        </w:rPr>
      </w:pPr>
      <w:r>
        <w:rPr>
          <w:b/>
          <w:bCs/>
          <w:lang w:val="el" w:eastAsia="el"/>
        </w:rPr>
        <w:t>ΠΑΡΑΤΗΡΗΣΕΙΣ|</w:t>
      </w:r>
    </w:p>
    <w:p>
      <w:pPr>
        <w:spacing w:before="240" w:after="240"/>
        <w:rPr>
          <w:lang w:val="el" w:eastAsia="el"/>
        </w:rPr>
      </w:pPr>
      <w:r>
        <w:rPr>
          <w:i/>
          <w:iCs/>
          <w:lang w:val="el" w:eastAsia="el"/>
        </w:rPr>
        <w:t>Το</w:t>
      </w:r>
      <w:r>
        <w:rPr>
          <w:lang w:val="el" w:eastAsia="el"/>
        </w:rPr>
        <w:t xml:space="preserve"> Υπουργείο Εργασίας και Κοινωνικών Υποθέσεων</w:t>
      </w:r>
      <w:r>
        <w:rPr>
          <w:i/>
          <w:iCs/>
          <w:lang w:val="el" w:eastAsia="el"/>
        </w:rPr>
        <w:t>,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Στις περιπτώσεις που τα δεδομένα που υποβάλλονται αφορούν : (a) μεμονωμένα φυσικά πρόσωπα (ατομικές επιχειρήσεις) ή (b) μονοπρόσωπες εταιρείες (όταν αυτά τα εταιρικά δεδομένα καθιστούν δυνατή την ταυτοποίηση ενός φυσικού προσώπου), τότε εφαρμόζονται οι κανόνες προστασίας δεδομένων προσωπικού χαρακτήρα, δηλαδή ο Γενικός Κανονισμός Προστασίας Δεδομένων 679/2016/ΕΕ και ο εθνικός νόμος 4624/2019. Σκοπός επεξεργασίας είναι εφαρμογή κατεπειγόντων μέτρων αντιμετώπισης των αρνητικών συνεπειών της εμφάνισης του κορωνοϊού COVID-19. Η νόμιμη βάση επεξεργασίας των δεδομένων αυτών είναι η άσκηση δημόσιας εξουσίας που έχει ανατεθεί στο</w:t>
      </w:r>
      <w:r>
        <w:rPr>
          <w:lang w:val="el" w:eastAsia="el"/>
        </w:rPr>
        <w:t xml:space="preserve"> Υπουργείο Εργασίας και Κοινωνικών Υποθέσεων</w:t>
      </w:r>
      <w:r>
        <w:rPr>
          <w:i/>
          <w:iCs/>
          <w:lang w:val="el" w:eastAsia="el"/>
        </w:rPr>
        <w:t>, σύμφωνα με τη συναφή νομοθεσία.</w:t>
      </w:r>
    </w:p>
    <w:p>
      <w:pPr>
        <w:spacing w:before="240" w:after="240"/>
        <w:rPr>
          <w:lang w:val="el" w:eastAsia="el"/>
        </w:rPr>
      </w:pPr>
      <w:r>
        <w:rPr>
          <w:i/>
          <w:iCs/>
          <w:lang w:val="el" w:eastAsia="el"/>
        </w:rPr>
        <w:t>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Εχετε δικαίωμα ενημέρωσης, πρόσβασης, διόρθωσης, περιορισμού, εναντίωσης και καταγγελίας στην Αρχή Προστασίας Αεδομένων Προσωπικού Χαρακτήρα καθώς και δικαίωμα επικοινωνίας με τον Υπεύθυνο Προστασίας Αεδομένων του</w:t>
      </w:r>
      <w:r>
        <w:rPr>
          <w:lang w:val="el" w:eastAsia="el"/>
        </w:rPr>
        <w:t xml:space="preserve"> Υπουργείου Εργασίας και Κοινωνικών Υποθέσεων </w:t>
      </w:r>
      <w:r>
        <w:rPr>
          <w:i/>
          <w:iCs/>
          <w:lang w:val="el" w:eastAsia="el"/>
        </w:rPr>
        <w:t xml:space="preserve">στην ηλεκτρονική διεύθυνση: </w:t>
      </w:r>
      <w:r>
        <w:rPr>
          <w:i/>
          <w:iCs/>
          <w:u w:val="single"/>
          <w:lang w:val="el" w:eastAsia="el"/>
        </w:rPr>
        <w:t>dpO^</w:t>
      </w:r>
      <w:r>
        <w:rPr>
          <w:i/>
          <w:iCs/>
          <w:u w:val="single"/>
          <w:lang w:val="el" w:eastAsia="el"/>
        </w:rPr>
        <w:t>,</w:t>
      </w:r>
      <w:r>
        <w:rPr>
          <w:i/>
          <w:iCs/>
          <w:u w:val="single"/>
          <w:lang w:val="el" w:eastAsia="el"/>
        </w:rPr>
        <w:t>yeka.gr</w:t>
      </w:r>
    </w:p>
    <w:p>
      <w:pPr>
        <w:spacing w:before="240" w:after="240"/>
        <w:rPr>
          <w:lang w:val="el" w:eastAsia="el"/>
        </w:rPr>
      </w:pPr>
      <w:r>
        <w:rPr>
          <w:b/>
          <w:bCs/>
          <w:lang w:val="el" w:eastAsia="el"/>
        </w:rPr>
        <w:t>Ο/Η ΝΟΜΙΜΟΣ ΕΚΠΡΟΣΩΠΟΣ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6"/>
        <w:gridCol w:w="2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Γ&gt;1 ϋΜ ο^W5a οΖΡπΖ</w:t>
            </w: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&gt;2®</w:t>
            </w:r>
          </w:p>
          <w:p>
            <w:pPr>
              <w:spacing w:before="240"/>
              <w:rPr>
                <w:b w:val="0"/>
                <w:bCs w:val="0"/>
                <w:i w:val="0"/>
                <w:iCs w:val="0"/>
                <w:smallCaps w:val="0"/>
                <w:color w:val="000000"/>
                <w:lang w:val="el" w:eastAsia="el"/>
              </w:rPr>
            </w:pPr>
            <w:r>
              <w:rPr>
                <w:b w:val="0"/>
                <w:bCs w:val="0"/>
                <w:i w:val="0"/>
                <w:iCs w:val="0"/>
                <w:smallCaps w:val="0"/>
                <w:color w:val="000000"/>
                <w:lang w:val="el" w:eastAsia="el"/>
              </w:rPr>
              <w:t>ΒΗΒ&lt;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οGΖ</w:t>
            </w:r>
          </w:p>
          <w:p>
            <w:pPr>
              <w:spacing w:before="240"/>
              <w:rPr>
                <w:b w:val="0"/>
                <w:bCs w:val="0"/>
                <w:i w:val="0"/>
                <w:iCs w:val="0"/>
                <w:smallCaps w:val="0"/>
                <w:color w:val="000000"/>
                <w:lang w:val="el" w:eastAsia="el"/>
              </w:rPr>
            </w:pPr>
            <w:r>
              <w:rPr>
                <w:b w:val="0"/>
                <w:bCs w:val="0"/>
                <w:i w:val="0"/>
                <w:iCs w:val="0"/>
                <w:smallCaps w:val="0"/>
                <w:color w:val="000000"/>
                <w:lang w:val="el" w:eastAsia="el"/>
              </w:rPr>
              <w:t>Ο g^g □ w£a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 W z gaa awzw&lt; gasaο οw ·^π</w:t>
            </w:r>
          </w:p>
          <w:p>
            <w:pPr>
              <w:spacing w:before="240"/>
              <w:rPr>
                <w:b w:val="0"/>
                <w:bCs w:val="0"/>
                <w:i w:val="0"/>
                <w:iCs w:val="0"/>
                <w:smallCaps w:val="0"/>
                <w:color w:val="000000"/>
                <w:lang w:val="el" w:eastAsia="el"/>
              </w:rPr>
            </w:pPr>
            <w:r>
              <w:rPr>
                <w:b w:val="0"/>
                <w:bCs w:val="0"/>
                <w:i w:val="0"/>
                <w:iCs w:val="0"/>
                <w:smallCaps w:val="0"/>
                <w:color w:val="000000"/>
                <w:lang w:val="el" w:eastAsia="el"/>
              </w:rPr>
              <w:t>§ 2 ZZ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 W zwga a issss 2iS^s aZ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z gU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g Z G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ΥΠΕΥΘΥΝΗ ΔΗΛΩΣΗ ΠΡΟΣΩΡΙΝΗΣ ΑΝΑΚΛΗΣΗΣ ΑΝΑΣΤΟΛΗΣ ΣΥΜΒΑΣΗΣ ΓΙΑ ΕΚΤΑΚΤΕΣ, ΚΑΤΕΠΕΙΓΟΥΣΕΣ, ΜΗ ΑΝΑΒΑΛΛΟΜΕΝΕΣ ΚΑΙ ΑΝΕΛΑΣΤΙΚΕΣ ΑΝΑΓΚΕΣ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Κατά τα λοιπά ισχύει η αριθμ. 40331/Δ1.13521/ 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Μαΐου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