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17537/989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Καθορισμός των τεχνικών παραμέτρων σχετικά με τις παροχές του κλάδου Επικουρικής Ασφάλισης του e-Ε.Φ.ΚΑ.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ΕΡΓΑΣΙΑΣ ΚΑΙ ΚΟΙΝΩΝΙΚΩΝ ΥΠΟΘΕΣΕΩΝ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ν. 4622/2019 (Α’ 133). « Επιτελικό Κράτος: οργάνωση, λειτουργία και διαφάνεια της Κυβέρνησης, των κυβερνητικών οργάνων και της κεντρικής δημόσιας διοίκησης».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π.δ. 81/2019 (Α’ 119).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π.δ. 83/9-7-2019 (Α’121) «Διορισμός Αντιπροέδρου της Κυβέρνησης, Υπουργών, Αναπληρωτών Υπουργών και Υφυπουργών».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π.δ. 134/2017 «Οργανισμός Υπουργείου Εργασίας Κοινωνικής Ασφάλισης και Κοινωνικής Αλληλεγγύης» (Α’ 168)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υπ’ αριθ. 280/20.05.2016 έγγραφο της Εθνικής Αναλογιστικής Αρχής με το οποίο παρέχεται η σύμφωνη γνώμη της για την έκδοση της παρούσας απόφασης.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Την με αριθμό 4/02-04-2020 απόφαση του Διοικητικού Συμβουλίου του e-ΕΦΚΑ για τη διατύπωση γνώμης επί του σχεδίου της υπουργικής απόφασης (Θέμα 10ο, σελ 154-162).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Την με αριθ. 1889/2019 απόφαση της Ολομέλειας του Συμβουλίου της Επικρατείας, η οποία δημοσιεύθηκε στις 4 Οκτωβρίου 2019, με την οποία ακυρώθηκε η οικ.23123/785/7.6.2016 απόφαση του Υφυπουργού Εργασίας, Κοινωνικής Ασφάλισης και Κοινωνικής Αλληλεγγύης «Καθορισμός τεχνικών παραμέτρων σχετικά με τις παροχές του Ενιαίου Ταμείου Επικουρικής Ασφάλισης» (Β’ 1604).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Το αριθ.13586/Δ4 830/30.03.2020 εισηγητικό σημείωμα της Γενικής Διεύθυνσης Οικονομικών Υπηρεσιών του Υπουργείου Εργασίας και Κοινωνικών Υποθέσεων, βάσει του άρθρου 24 παρ. 5 περίπτωση ε του ν. 4270/2014 (Α’ 143), όπως αντικαταστάθηκε με το 34 παρ. 1 του ν. 4484/2017 (Α’ 110).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Το γεγονός ότι από τις διατάξεις της παρούσας απόφασης, δεν προκαλείται οικονομική επιβάρυνση σε βάρος του Κρατικού Προϋπολογισμού ή του Προϋπολογισμού του e-Ε.Φ.Κ.Α., αποφασίζουμε: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Οι τεχνικές παράμετροι του άρθρου 42 παρ. 4 του ν. 4052/2012, όπως ισχύει, καθορίζονται ως εξής: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1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Γενικός τύπος υπολογισμού απονεμόμενης σύνταξης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τη συνταξιοδότηση, σύμφωνα με την αρχή της ισοδυναμίας η συσσωρευμένη αξία των εισφορών κατά τη συνταξιοδότηση (συσσώρευση με τη μεταβολή της βάσης υπολογισμού), είναι ίση με την παρούσα αξία των μελλοντικών καταβολών της σύνταξης (χρήση ράντας κατά περίπτωση).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Ως </w:t>
      </w:r>
      <w:r>
        <w:rPr>
          <w:i/>
          <w:iCs/>
          <w:lang w:val="el" w:eastAsia="el"/>
        </w:rPr>
        <w:t>AF</w:t>
      </w:r>
      <w:r>
        <w:rPr>
          <w:i/>
          <w:iCs/>
          <w:sz w:val="30"/>
          <w:szCs w:val="30"/>
          <w:vertAlign w:val="subscript"/>
          <w:lang w:val="el" w:eastAsia="el"/>
        </w:rPr>
        <w:t>x</w:t>
      </w:r>
      <w:r>
        <w:rPr>
          <w:lang w:val="el" w:eastAsia="el"/>
        </w:rPr>
        <w:t xml:space="preserve"> ορίζεται ο αντίστροφος της κατά περίπτωση ράντας για άτομο ηλικίας (x) στη συνταξιοδότηση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Το ποσό της ετήσιας απονεμόμενης σύνταξης για το έτος </w:t>
      </w:r>
      <w:r>
        <w:rPr>
          <w:i/>
          <w:iCs/>
          <w:lang w:val="el" w:eastAsia="el"/>
        </w:rPr>
        <w:t>t</w:t>
      </w:r>
      <w:r>
        <w:rPr>
          <w:lang w:val="el" w:eastAsia="el"/>
        </w:rPr>
        <w:t xml:space="preserve"> προκύπτει από τον παρακάτω τύπο :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aa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Px</w:t>
      </w:r>
      <w:r>
        <w:rPr>
          <w:lang w:val="el" w:eastAsia="el"/>
        </w:rPr>
        <w:t>,</w:t>
      </w:r>
      <w:r>
        <w:rPr>
          <w:i/>
          <w:iCs/>
          <w:lang w:val="el" w:eastAsia="el"/>
        </w:rPr>
        <w:t xml:space="preserve">t AFx </w:t>
      </w:r>
      <w:r>
        <w:rPr>
          <w:i/>
          <w:iCs/>
          <w:sz w:val="30"/>
          <w:szCs w:val="30"/>
          <w:vertAlign w:val="superscript"/>
          <w:lang w:val="el" w:eastAsia="el"/>
        </w:rPr>
        <w:t>a</w:t>
      </w:r>
      <w:r>
        <w:rPr>
          <w:i/>
          <w:iCs/>
          <w:lang w:val="el" w:eastAsia="el"/>
        </w:rPr>
        <w:t xml:space="preserve"> Conj </w:t>
      </w:r>
      <w:r>
        <w:rPr>
          <w:i/>
          <w:iCs/>
          <w:sz w:val="30"/>
          <w:szCs w:val="30"/>
          <w:vertAlign w:val="superscript"/>
          <w:lang w:val="el" w:eastAsia="el"/>
        </w:rPr>
        <w:t>a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  <w:r>
        <w:rPr>
          <w:lang w:val="el" w:eastAsia="el"/>
        </w:rPr>
        <w:t xml:space="preserve">+ </w:t>
      </w:r>
      <w:r>
        <w:rPr>
          <w:i/>
          <w:iCs/>
          <w:lang w:val="el" w:eastAsia="el"/>
        </w:rPr>
        <w:t>g</w:t>
      </w:r>
      <w:r>
        <w:rPr>
          <w:i/>
          <w:iCs/>
          <w:sz w:val="30"/>
          <w:szCs w:val="30"/>
          <w:vertAlign w:val="subscript"/>
          <w:lang w:val="el" w:eastAsia="el"/>
        </w:rPr>
        <w:t>k</w:t>
      </w:r>
      <w:r>
        <w:rPr>
          <w:i/>
          <w:iCs/>
          <w:lang w:val="el" w:eastAsia="el"/>
        </w:rPr>
        <w:t xml:space="preserve"> )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j</w:t>
      </w:r>
      <w:r>
        <w:rPr>
          <w:lang w:val="el" w:eastAsia="el"/>
        </w:rPr>
        <w:t>1</w:t>
      </w:r>
      <w:r>
        <w:rPr>
          <w:i/>
          <w:iCs/>
          <w:lang w:val="el" w:eastAsia="el"/>
        </w:rPr>
        <w:t>k</w:t>
      </w:r>
      <w:r>
        <w:rPr>
          <w:i/>
          <w:iCs/>
          <w:sz w:val="30"/>
          <w:szCs w:val="30"/>
          <w:vertAlign w:val="superscript"/>
          <w:lang w:val="el" w:eastAsia="el"/>
        </w:rPr>
        <w:t>j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όπου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 xml:space="preserve">C : </w:t>
      </w:r>
      <w:r>
        <w:rPr>
          <w:lang w:val="el" w:eastAsia="el"/>
        </w:rPr>
        <w:t xml:space="preserve">οι συνολικές ετήσιες εισφορές του έτους </w:t>
      </w:r>
      <w:r>
        <w:rPr>
          <w:i/>
          <w:iCs/>
          <w:lang w:val="el" w:eastAsia="el"/>
        </w:rPr>
        <w:t>j</w:t>
      </w:r>
    </w:p>
    <w:p>
      <w:pPr>
        <w:spacing w:before="240" w:after="240"/>
        <w:rPr>
          <w:lang w:val="el" w:eastAsia="el"/>
        </w:rPr>
      </w:pPr>
      <w:r>
        <w:rPr>
          <w:i/>
          <w:iCs/>
          <w:sz w:val="30"/>
          <w:szCs w:val="30"/>
          <w:vertAlign w:val="superscript"/>
          <w:lang w:val="el" w:eastAsia="el"/>
        </w:rPr>
        <w:t>a</w:t>
      </w:r>
      <w:r>
        <w:rPr>
          <w:lang w:val="el" w:eastAsia="el"/>
        </w:rPr>
        <w:t xml:space="preserve"> ; έτη συσσώρευσης εισφορών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ετήσια μεταβολή της βάσης υπολογισμού των εισφορών του έτους </w:t>
      </w:r>
      <w:r>
        <w:rPr>
          <w:i/>
          <w:iCs/>
          <w:lang w:val="el" w:eastAsia="el"/>
        </w:rPr>
        <w:t>k</w:t>
      </w:r>
      <w:r>
        <w:rPr>
          <w:lang w:val="el" w:eastAsia="el"/>
        </w:rPr>
        <w:t xml:space="preserve"> και υπολογίζεται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Έως 31/12/2016 με τον τύπο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Wk . 1Wk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gkWk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1ka1ka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όπου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W</w:t>
      </w:r>
      <w:r>
        <w:rPr>
          <w:i/>
          <w:iCs/>
          <w:sz w:val="30"/>
          <w:szCs w:val="30"/>
          <w:vertAlign w:val="subscript"/>
          <w:lang w:val="el" w:eastAsia="el"/>
        </w:rPr>
        <w:t>k</w:t>
      </w:r>
      <w:r>
        <w:rPr>
          <w:lang w:val="el" w:eastAsia="el"/>
        </w:rPr>
        <w:t xml:space="preserve"> : ο μέσος εισφορίσιμος μισθός του Ταμείου το έτος </w:t>
      </w:r>
      <w:r>
        <w:rPr>
          <w:i/>
          <w:iCs/>
          <w:lang w:val="el" w:eastAsia="el"/>
        </w:rPr>
        <w:t>k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Από 1/1/2017 και εφεξής με τον τύπο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Wk . 1 -ΣWk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gk =1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Wk0,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1ka1ka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όπου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 </w:t>
      </w:r>
      <w:r>
        <w:rPr>
          <w:i/>
          <w:iCs/>
          <w:lang w:val="el" w:eastAsia="el"/>
        </w:rPr>
        <w:t>Wk</w:t>
      </w:r>
      <w:r>
        <w:rPr>
          <w:lang w:val="el" w:eastAsia="el"/>
        </w:rPr>
        <w:t xml:space="preserve"> : το άθροισμα των εισφορίσιμων μισθών όλων των ασφαλισμένων του Ταμείου το έτος </w:t>
      </w:r>
      <w:r>
        <w:rPr>
          <w:i/>
          <w:iCs/>
          <w:lang w:val="el" w:eastAsia="el"/>
        </w:rPr>
        <w:t>k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2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Τύπος (Ράντα) για τον υπολογισμό Σύνταξης Γήρατος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 σύνταξη γήρατος δικαιούχου ηλικίας (χ) στη συνταξιοδότηση, για το έτος της πρώτης καταβολής, το ΑΤχ του άρθρου 1, υπολογίζεται από τον παρακάτω τύπο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</w:t>
      </w:r>
      <w:r>
        <w:rPr>
          <w:i/>
          <w:iCs/>
          <w:lang w:val="el" w:eastAsia="el"/>
        </w:rPr>
        <w:t>AFx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</w:t>
      </w:r>
      <w:r>
        <w:rPr>
          <w:i/>
          <w:iCs/>
          <w:lang w:val="el" w:eastAsia="el"/>
        </w:rPr>
        <w:t>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όπου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(Ο-x1ax,s =σ t px,s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t0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x1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</w:t>
      </w:r>
      <w:r>
        <w:rPr>
          <w:b/>
          <w:bCs/>
          <w:i/>
          <w:iCs/>
          <w:lang w:val="el" w:eastAsia="el"/>
        </w:rPr>
        <w:t>x</w:t>
      </w:r>
      <w:r>
        <w:rPr>
          <w:lang w:val="el" w:eastAsia="el"/>
        </w:rPr>
        <w:t xml:space="preserve"> (</w:t>
      </w:r>
      <w:r>
        <w:rPr>
          <w:i/>
          <w:iCs/>
          <w:lang w:val="el" w:eastAsia="el"/>
        </w:rPr>
        <w:t xml:space="preserve">a </w:t>
      </w:r>
      <w:r>
        <w:rPr>
          <w:b/>
          <w:bCs/>
          <w:i/>
          <w:iCs/>
          <w:lang w:val="el" w:eastAsia="el"/>
        </w:rPr>
        <w:t>x</w:t>
      </w:r>
      <w:r>
        <w:rPr>
          <w:lang w:val="el" w:eastAsia="el"/>
        </w:rPr>
        <w:t>,</w:t>
      </w:r>
      <w:r>
        <w:rPr>
          <w:i/>
          <w:iCs/>
          <w:lang w:val="el" w:eastAsia="el"/>
        </w:rPr>
        <w:t xml:space="preserve">m + 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A</w:t>
      </w:r>
      <w:r>
        <w:rPr>
          <w:b/>
          <w:bCs/>
          <w:i/>
          <w:iCs/>
          <w:lang w:val="el" w:eastAsia="el"/>
        </w:rPr>
        <w:t>x</w:t>
      </w:r>
      <w:r>
        <w:rPr>
          <w:lang w:val="el" w:eastAsia="el"/>
        </w:rPr>
        <w:t>,</w:t>
      </w:r>
      <w:r>
        <w:rPr>
          <w:b/>
          <w:bCs/>
          <w:i/>
          <w:iCs/>
          <w:lang w:val="el" w:eastAsia="el"/>
        </w:rPr>
        <w:t>m</w:t>
      </w:r>
      <w:r>
        <w:rPr>
          <w:sz w:val="30"/>
          <w:szCs w:val="30"/>
          <w:vertAlign w:val="superscript"/>
          <w:lang w:val="el" w:eastAsia="el"/>
        </w:rPr>
        <w:t>)</w:t>
      </w:r>
      <w:r>
        <w:rPr>
          <w:lang w:val="el" w:eastAsia="el"/>
        </w:rPr>
        <w:t>λ?+(</w:t>
      </w:r>
      <w:r>
        <w:rPr>
          <w:i/>
          <w:iCs/>
          <w:lang w:val="el" w:eastAsia="el"/>
        </w:rPr>
        <w:t>a</w:t>
      </w:r>
      <w:r>
        <w:rPr>
          <w:b/>
          <w:bCs/>
          <w:i/>
          <w:iCs/>
          <w:lang w:val="el" w:eastAsia="el"/>
        </w:rPr>
        <w:t>x</w:t>
      </w:r>
      <w:r>
        <w:rPr>
          <w:lang w:val="el" w:eastAsia="el"/>
        </w:rPr>
        <w:t xml:space="preserve">, </w:t>
      </w:r>
      <w:r>
        <w:rPr>
          <w:b/>
          <w:bCs/>
          <w:i/>
          <w:iCs/>
          <w:lang w:val="el" w:eastAsia="el"/>
        </w:rPr>
        <w:t>f</w:t>
      </w:r>
      <w:r>
        <w:rPr>
          <w:b/>
          <w:bCs/>
          <w:i/>
          <w:iCs/>
          <w:lang w:val="el" w:eastAsia="el"/>
        </w:rPr>
        <w:t xml:space="preserve">+ </w:t>
      </w:r>
      <w:r>
        <w:rPr>
          <w:b/>
          <w:bCs/>
          <w:i/>
          <w:iCs/>
          <w:lang w:val="el" w:eastAsia="el"/>
        </w:rPr>
        <w:t>Ax</w:t>
      </w:r>
      <w:r>
        <w:rPr>
          <w:i/>
          <w:iCs/>
          <w:lang w:val="el" w:eastAsia="el"/>
        </w:rPr>
        <w:t xml:space="preserve">, </w:t>
      </w:r>
      <w:r>
        <w:rPr>
          <w:b/>
          <w:bCs/>
          <w:i/>
          <w:iCs/>
          <w:lang w:val="el" w:eastAsia="el"/>
        </w:rPr>
        <w:t>f</w:t>
      </w:r>
      <w:r>
        <w:rPr>
          <w:i/>
          <w:iCs/>
          <w:lang w:val="el" w:eastAsia="el"/>
        </w:rPr>
        <w:t>)(1</w:t>
      </w:r>
      <w:r>
        <w:rPr>
          <w:b/>
          <w:bCs/>
          <w:i/>
          <w:iCs/>
          <w:lang w:val="el" w:eastAsia="el"/>
        </w:rPr>
        <w:t>-β</w:t>
      </w:r>
      <w:r>
        <w:rPr>
          <w:i/>
          <w:iCs/>
          <w:sz w:val="30"/>
          <w:szCs w:val="30"/>
          <w:vertAlign w:val="superscript"/>
          <w:lang w:val="el" w:eastAsia="el"/>
        </w:rPr>
        <w:t>)</w:t>
      </w:r>
      <w:r>
        <w:rPr>
          <w:b/>
          <w:bCs/>
          <w:i/>
          <w:iCs/>
          <w:lang w:val="el" w:eastAsia="el"/>
        </w:rPr>
        <w:t>-Θ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για τη σύνταξη του Δικαιούχου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zx +t 0.5,s |J για τη σύνταξη των Δικαιοδόχων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Ax</w:t>
      </w:r>
      <w:r>
        <w:rPr>
          <w:i/>
          <w:iCs/>
          <w:lang w:val="el" w:eastAsia="el"/>
        </w:rPr>
        <w:t>,</w:t>
      </w:r>
      <w:r>
        <w:rPr>
          <w:i/>
          <w:iCs/>
          <w:lang w:val="el" w:eastAsia="el"/>
        </w:rPr>
        <w:t>s tpx</w:t>
      </w:r>
      <w:r>
        <w:rPr>
          <w:i/>
          <w:iCs/>
          <w:lang w:val="el" w:eastAsia="el"/>
        </w:rPr>
        <w:t>,</w:t>
      </w:r>
      <w:r>
        <w:rPr>
          <w:i/>
          <w:iCs/>
          <w:lang w:val="el" w:eastAsia="el"/>
        </w:rPr>
        <w:t>sqx + t</w:t>
      </w:r>
      <w:r>
        <w:rPr>
          <w:i/>
          <w:iCs/>
          <w:lang w:val="el" w:eastAsia="el"/>
        </w:rPr>
        <w:t>,</w:t>
      </w:r>
      <w:r>
        <w:rPr>
          <w:i/>
          <w:iCs/>
          <w:lang w:val="el" w:eastAsia="el"/>
        </w:rPr>
        <w:t>s</w:t>
      </w:r>
      <w:r>
        <w:rPr>
          <w:i/>
          <w:iCs/>
          <w:lang w:val="el" w:eastAsia="el"/>
        </w:rPr>
        <w:t xml:space="preserve"> . </w:t>
      </w:r>
      <w:r>
        <w:rPr>
          <w:i/>
          <w:iCs/>
          <w:lang w:val="el" w:eastAsia="el"/>
        </w:rPr>
        <w:t>W</w:t>
      </w:r>
      <w:r>
        <w:rPr>
          <w:i/>
          <w:iCs/>
          <w:sz w:val="30"/>
          <w:szCs w:val="30"/>
          <w:vertAlign w:val="subscript"/>
          <w:lang w:val="el" w:eastAsia="el"/>
        </w:rPr>
        <w:t>x</w:t>
      </w:r>
      <w:r>
        <w:rPr>
          <w:i/>
          <w:iCs/>
          <w:lang w:val="el" w:eastAsia="el"/>
        </w:rPr>
        <w:t xml:space="preserve"> + t</w:t>
      </w:r>
      <w:r>
        <w:rPr>
          <w:i/>
          <w:iCs/>
          <w:lang w:val="el" w:eastAsia="el"/>
        </w:rPr>
        <w:t xml:space="preserve"> + 0.5,</w:t>
      </w:r>
      <w:r>
        <w:rPr>
          <w:i/>
          <w:iCs/>
          <w:lang w:val="el" w:eastAsia="el"/>
        </w:rPr>
        <w:t>s V</w:t>
      </w:r>
      <w:r>
        <w:rPr>
          <w:i/>
          <w:iCs/>
          <w:lang w:val="el" w:eastAsia="el"/>
        </w:rPr>
        <w:t>1</w:t>
      </w:r>
      <w:r>
        <w:rPr>
          <w:i/>
          <w:iCs/>
          <w:lang w:val="el" w:eastAsia="el"/>
        </w:rPr>
        <w:t>a ψ x t</w:t>
      </w:r>
      <w:r>
        <w:rPr>
          <w:i/>
          <w:iCs/>
          <w:lang w:val="el" w:eastAsia="el"/>
        </w:rPr>
        <w:t xml:space="preserve"> 0.5,</w:t>
      </w:r>
      <w:r>
        <w:rPr>
          <w:i/>
          <w:iCs/>
          <w:lang w:val="el" w:eastAsia="el"/>
        </w:rPr>
        <w:t>s x+t</w:t>
      </w:r>
      <w:r>
        <w:rPr>
          <w:i/>
          <w:iCs/>
          <w:lang w:val="el" w:eastAsia="el"/>
        </w:rPr>
        <w:t>+0.5,</w:t>
      </w:r>
      <w:r>
        <w:rPr>
          <w:i/>
          <w:iCs/>
          <w:lang w:val="el" w:eastAsia="el"/>
        </w:rPr>
        <w:t>s</w:t>
      </w:r>
      <w:r>
        <w:rPr>
          <w:i/>
          <w:iCs/>
          <w:lang w:val="el" w:eastAsia="el"/>
        </w:rPr>
        <w:t xml:space="preserve"> 72 </w:t>
      </w:r>
      <w:r>
        <w:rPr>
          <w:i/>
          <w:iCs/>
          <w:lang w:val="el" w:eastAsia="el"/>
        </w:rPr>
        <w:t>az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*</w:t>
      </w:r>
      <w:r>
        <w:rPr>
          <w:b/>
          <w:bCs/>
          <w:i/>
          <w:iCs/>
          <w:lang w:val="el" w:eastAsia="el"/>
        </w:rPr>
        <w:t>t</w:t>
      </w:r>
      <w:r>
        <w:rPr>
          <w:b/>
          <w:bCs/>
          <w:i/>
          <w:iCs/>
          <w:lang w:val="el" w:eastAsia="el"/>
        </w:rPr>
        <w:t xml:space="preserve">0 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Επίσης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s</w:t>
      </w:r>
      <w:r>
        <w:rPr>
          <w:b/>
          <w:bCs/>
          <w:i/>
          <w:iCs/>
          <w:lang w:val="el" w:eastAsia="el"/>
        </w:rPr>
        <w:t xml:space="preserve"> : φύλο (</w:t>
      </w:r>
      <w:r>
        <w:rPr>
          <w:b/>
          <w:bCs/>
          <w:i/>
          <w:iCs/>
          <w:lang w:val="el" w:eastAsia="el"/>
        </w:rPr>
        <w:t>m</w:t>
      </w:r>
      <w:r>
        <w:rPr>
          <w:b/>
          <w:bCs/>
          <w:i/>
          <w:iCs/>
          <w:lang w:val="el" w:eastAsia="el"/>
        </w:rPr>
        <w:t xml:space="preserve"> για άνδρα και </w:t>
      </w:r>
      <w:r>
        <w:rPr>
          <w:b/>
          <w:bCs/>
          <w:i/>
          <w:iCs/>
          <w:lang w:val="el" w:eastAsia="el"/>
        </w:rPr>
        <w:t>f</w:t>
      </w:r>
      <w:r>
        <w:rPr>
          <w:b/>
          <w:bCs/>
          <w:i/>
          <w:iCs/>
          <w:lang w:val="el" w:eastAsia="el"/>
        </w:rPr>
        <w:t xml:space="preserve"> για γυναίκα) </w:t>
      </w:r>
      <w:r>
        <w:rPr>
          <w:b/>
          <w:bCs/>
          <w:i/>
          <w:iCs/>
          <w:lang w:val="el" w:eastAsia="el"/>
        </w:rPr>
        <w:t>tpx</w:t>
      </w:r>
      <w:r>
        <w:rPr>
          <w:b/>
          <w:bCs/>
          <w:i/>
          <w:iCs/>
          <w:lang w:val="el" w:eastAsia="el"/>
        </w:rPr>
        <w:t>,</w:t>
      </w:r>
      <w:r>
        <w:rPr>
          <w:b/>
          <w:bCs/>
          <w:i/>
          <w:iCs/>
          <w:lang w:val="el" w:eastAsia="el"/>
        </w:rPr>
        <w:t>s</w:t>
      </w:r>
      <w:r>
        <w:rPr>
          <w:b/>
          <w:bCs/>
          <w:i/>
          <w:iCs/>
          <w:lang w:val="el" w:eastAsia="el"/>
        </w:rPr>
        <w:t xml:space="preserve"> x) και φύλου </w:t>
      </w:r>
      <w:r>
        <w:rPr>
          <w:b/>
          <w:bCs/>
          <w:i/>
          <w:iCs/>
          <w:lang w:val="el" w:eastAsia="el"/>
        </w:rPr>
        <w:t>s</w:t>
      </w:r>
      <w:r>
        <w:rPr>
          <w:b/>
          <w:bCs/>
          <w:i/>
          <w:iCs/>
          <w:lang w:val="el" w:eastAsia="el"/>
        </w:rPr>
        <w:t xml:space="preserve"> να βρίσκεται στη ζωή στην ηλικία (x+t) x : ηλικία συνταξιοδότησης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ω</w:t>
      </w:r>
      <w:r>
        <w:rPr>
          <w:b/>
          <w:bCs/>
          <w:i/>
          <w:iCs/>
          <w:lang w:val="el" w:eastAsia="el"/>
        </w:rPr>
        <w:t xml:space="preserve"> : τελευταία ηλικία του Πίνακα Επιβίωσης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qx t</w:t>
      </w:r>
      <w:r>
        <w:rPr>
          <w:b/>
          <w:bCs/>
          <w:i/>
          <w:iCs/>
          <w:lang w:val="el" w:eastAsia="el"/>
        </w:rPr>
        <w:t xml:space="preserve"> : πιθανότητα άτομο ηλικίας (x+t) και φύλου </w:t>
      </w:r>
      <w:r>
        <w:rPr>
          <w:b/>
          <w:bCs/>
          <w:i/>
          <w:iCs/>
          <w:lang w:val="el" w:eastAsia="el"/>
        </w:rPr>
        <w:t>s</w:t>
      </w:r>
      <w:r>
        <w:rPr>
          <w:b/>
          <w:bCs/>
          <w:i/>
          <w:iCs/>
          <w:lang w:val="el" w:eastAsia="el"/>
        </w:rPr>
        <w:t xml:space="preserve"> να μην βρίσκεται στη ζωή στην x+t</w:t>
      </w:r>
      <w:r>
        <w:rPr>
          <w:b/>
          <w:bCs/>
          <w:i/>
          <w:iCs/>
          <w:lang w:val="el" w:eastAsia="el"/>
        </w:rPr>
        <w:t>,</w:t>
      </w:r>
      <w:r>
        <w:rPr>
          <w:b/>
          <w:bCs/>
          <w:i/>
          <w:iCs/>
          <w:lang w:val="el" w:eastAsia="el"/>
        </w:rPr>
        <w:t>s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ηλικία (x+t+1)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W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>x t</w:t>
      </w:r>
      <w:r>
        <w:rPr>
          <w:b/>
          <w:bCs/>
          <w:i/>
          <w:iCs/>
          <w:lang w:val="el" w:eastAsia="el"/>
        </w:rPr>
        <w:t xml:space="preserve"> : ποσοστό ατόμων ηλικίας (x+t) και φύλου </w:t>
      </w:r>
      <w:r>
        <w:rPr>
          <w:b/>
          <w:bCs/>
          <w:i/>
          <w:iCs/>
          <w:lang w:val="el" w:eastAsia="el"/>
        </w:rPr>
        <w:t>s</w:t>
      </w:r>
      <w:r>
        <w:rPr>
          <w:b/>
          <w:bCs/>
          <w:i/>
          <w:iCs/>
          <w:lang w:val="el" w:eastAsia="el"/>
        </w:rPr>
        <w:t xml:space="preserve"> που πεθαίνουν πριν προλάβουν 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x t</w:t>
      </w:r>
      <w:r>
        <w:rPr>
          <w:b/>
          <w:bCs/>
          <w:i/>
          <w:iCs/>
          <w:lang w:val="el" w:eastAsia="el"/>
        </w:rPr>
        <w:t>,</w:t>
      </w:r>
      <w:r>
        <w:rPr>
          <w:b/>
          <w:bCs/>
          <w:i/>
          <w:iCs/>
          <w:lang w:val="el" w:eastAsia="el"/>
        </w:rPr>
        <w:t>s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γίνουν (x+t+1), και έχουν σύζυγο στη ζωή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3"/>
        <w:gridCol w:w="840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ΤΖ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x+t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: μέσο πλήθος προστατευόμενων τέκνων στη ζωή, ατόμου ηλικίας (x+t) και φύλου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s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που πεθαίνει πριν προλάβει να γίνει (x+t+1)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X+t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: μέση ηλικία συζύγου ατόμου ηλικίας (x+t) και φύλου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s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που πεθαίνει πριν προλάβει να γίνει (x+t+1)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7 X+t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,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: μέση ηλικία τέκνων ατόμου ηλικίας (x+t) και φύλου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s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που πεθαίνει πριν προλάβει να γίνει (x+t+1)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*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Z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Π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η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=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(1-1 -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r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)“'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r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μέγιστη ηλικία τέκνου μέχρι την οποία καταβάλλεται η μεταβιβαζόμενη σύνταξη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ποσοστό μεταβίβασης της σύνταξης συνταξιούχου στο/στη σύζυγο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ποσοστό μεταβίβασης της σύνταξης συνταξιούχου σε κάθε τέκνο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προεξοφλητικός παράγοντας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επιτόκιο προεξόφλησης των περιοδικών καταβολών της σύνταξης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αναλογία των εισφορίσιμων αποδοχών των ανδρών στο σύνολο των εισφορίσιμων αποδοχών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παράγοντας με τον οποίο λαμβάνεται υπόψη το πλήθος των καταβολών κατά τι διάρκεια του έτους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*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7"/>
        <w:gridCol w:w="822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/>
                <w:iCs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a</w:t>
            </w: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z</w:t>
            </w: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 xml:space="preserve">· </w:t>
            </w: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-</w:t>
            </w: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Zx</w:t>
            </w: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.„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,5,|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: βέβαια ράντα </w:t>
            </w:r>
            <w:r>
              <w:rPr>
                <w:b/>
                <w:bCs/>
                <w:i/>
                <w:iCs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z</w:t>
            </w: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 xml:space="preserve">* </w:t>
            </w: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z</w:t>
            </w: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^</w:t>
            </w: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^</w:t>
            </w: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,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^ 0.5,</w:t>
            </w: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s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ετήσιων καταβολών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w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ΨX+,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-0.5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,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ισόβια ράντα ζωής χήρου/ας με βάση την πιθανότητα να είναι στη ζωή και να μην έχει ξαναπαντρευτεί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W^+W1 Κ+Κ.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189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x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X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+0,5 2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X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+1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X X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+1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,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K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x+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0,5 “ 2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x +Ψx</w:t>
      </w:r>
      <w:r>
        <w:rPr>
          <w:b/>
          <w:bCs/>
          <w:i/>
          <w:iCs/>
          <w:lang w:val="el" w:eastAsia="el"/>
        </w:rPr>
        <w:t xml:space="preserve">+ i </w:t>
      </w:r>
      <w:r>
        <w:rPr>
          <w:b/>
          <w:bCs/>
          <w:i/>
          <w:iCs/>
          <w:lang w:val="el" w:eastAsia="el"/>
        </w:rPr>
        <w:t>z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>x</w:t>
      </w:r>
      <w:r>
        <w:rPr>
          <w:b/>
          <w:bCs/>
          <w:i/>
          <w:iCs/>
          <w:lang w:val="el" w:eastAsia="el"/>
        </w:rPr>
        <w:t xml:space="preserve"> + z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>x</w:t>
      </w:r>
      <w:r>
        <w:rPr>
          <w:b/>
          <w:bCs/>
          <w:i/>
          <w:iCs/>
          <w:lang w:val="el" w:eastAsia="el"/>
        </w:rPr>
        <w:t xml:space="preserve"> +1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3"/>
        <w:gridCol w:w="187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ΨX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+0,5 -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X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-^^ - Z xx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+1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,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z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x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+0,5 “ 2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a</w:t>
      </w:r>
      <w:r>
        <w:rPr>
          <w:b/>
          <w:bCs/>
          <w:i/>
          <w:iCs/>
          <w:lang w:val="el" w:eastAsia="el"/>
        </w:rPr>
        <w:t xml:space="preserve"> 0.5 “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(1 (</w:t>
      </w:r>
      <w:r>
        <w:rPr>
          <w:b/>
          <w:bCs/>
          <w:i/>
          <w:iCs/>
          <w:lang w:val="el" w:eastAsia="el"/>
        </w:rPr>
        <w:t>^</w:t>
      </w:r>
      <w:r>
        <w:rPr>
          <w:b/>
          <w:bCs/>
          <w:i/>
          <w:iCs/>
          <w:lang w:val="el" w:eastAsia="el"/>
        </w:rPr>
        <w:t>x</w:t>
      </w:r>
      <w:r>
        <w:rPr>
          <w:b/>
          <w:bCs/>
          <w:i/>
          <w:iCs/>
          <w:lang w:val="el" w:eastAsia="el"/>
        </w:rPr>
        <w:t xml:space="preserve">+0,5 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[</w:t>
      </w:r>
      <w:r>
        <w:rPr>
          <w:b/>
          <w:bCs/>
          <w:i/>
          <w:iCs/>
          <w:lang w:val="el" w:eastAsia="el"/>
        </w:rPr>
        <w:t>^</w:t>
      </w:r>
      <w:r>
        <w:rPr>
          <w:b/>
          <w:bCs/>
          <w:i/>
          <w:iCs/>
          <w:lang w:val="el" w:eastAsia="el"/>
        </w:rPr>
        <w:t>x</w:t>
      </w:r>
      <w:r>
        <w:rPr>
          <w:b/>
          <w:bCs/>
          <w:i/>
          <w:iCs/>
          <w:lang w:val="el" w:eastAsia="el"/>
        </w:rPr>
        <w:t>+0,5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]</w:t>
      </w:r>
      <w:r>
        <w:rPr>
          <w:b/>
          <w:bCs/>
          <w:i/>
          <w:iCs/>
          <w:lang w:val="el" w:eastAsia="el"/>
        </w:rPr>
        <w:t>))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a</w:t>
      </w:r>
      <w:r>
        <w:rPr>
          <w:b/>
          <w:bCs/>
          <w:i/>
          <w:iCs/>
          <w:lang w:val="el" w:eastAsia="el"/>
        </w:rPr>
        <w:t>·</w:t>
      </w:r>
      <w:r>
        <w:rPr>
          <w:b/>
          <w:bCs/>
          <w:i/>
          <w:iCs/>
          <w:lang w:val="el" w:eastAsia="el"/>
        </w:rPr>
        <w:t xml:space="preserve"> 0.5]■’■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(</w:t>
      </w:r>
      <w:r>
        <w:rPr>
          <w:b/>
          <w:bCs/>
          <w:i/>
          <w:iCs/>
          <w:lang w:val="el" w:eastAsia="el"/>
        </w:rPr>
        <w:t>^</w:t>
      </w:r>
      <w:r>
        <w:rPr>
          <w:b/>
          <w:bCs/>
          <w:i/>
          <w:iCs/>
          <w:lang w:val="el" w:eastAsia="el"/>
        </w:rPr>
        <w:t>x</w:t>
      </w:r>
      <w:r>
        <w:rPr>
          <w:b/>
          <w:bCs/>
          <w:i/>
          <w:iCs/>
          <w:lang w:val="el" w:eastAsia="el"/>
        </w:rPr>
        <w:t>+0,5 [^</w:t>
      </w:r>
      <w:r>
        <w:rPr>
          <w:b/>
          <w:bCs/>
          <w:i/>
          <w:iCs/>
          <w:lang w:val="el" w:eastAsia="el"/>
        </w:rPr>
        <w:t>X</w:t>
      </w:r>
      <w:r>
        <w:rPr>
          <w:b/>
          <w:bCs/>
          <w:i/>
          <w:iCs/>
          <w:lang w:val="el" w:eastAsia="el"/>
        </w:rPr>
        <w:t>+0,5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]</w:t>
      </w:r>
      <w:r>
        <w:rPr>
          <w:b/>
          <w:bCs/>
          <w:i/>
          <w:iCs/>
          <w:lang w:val="el" w:eastAsia="el"/>
        </w:rPr>
        <w:t>)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i/>
          <w:iCs/>
          <w:lang w:val="el" w:eastAsia="el"/>
        </w:rPr>
        <w:t>{ψχ,</w:t>
      </w:r>
      <w:r>
        <w:rPr>
          <w:b/>
          <w:bCs/>
          <w:i/>
          <w:iCs/>
          <w:lang w:val="el" w:eastAsia="el"/>
        </w:rPr>
        <w:t>0,5+1]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a</w:t>
      </w:r>
      <w:r>
        <w:rPr>
          <w:b/>
          <w:bCs/>
          <w:i/>
          <w:iCs/>
          <w:lang w:val="el" w:eastAsia="el"/>
        </w:rPr>
        <w:t>z*-Zx</w:t>
      </w:r>
      <w:r>
        <w:rPr>
          <w:b/>
          <w:bCs/>
          <w:i/>
          <w:iCs/>
          <w:lang w:val="el" w:eastAsia="el"/>
        </w:rPr>
        <w:t>+ 0.5I“(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1</w:t>
      </w:r>
      <w:r>
        <w:rPr>
          <w:b/>
          <w:bCs/>
          <w:i/>
          <w:iCs/>
          <w:lang w:val="el" w:eastAsia="el"/>
        </w:rPr>
        <w:t>~ (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Z</w:t>
      </w:r>
      <w:r>
        <w:rPr>
          <w:b/>
          <w:bCs/>
          <w:i/>
          <w:iCs/>
          <w:lang w:val="el" w:eastAsia="el"/>
        </w:rPr>
        <w:t>X+</w:t>
      </w:r>
      <w:r>
        <w:rPr>
          <w:b/>
          <w:bCs/>
          <w:i/>
          <w:iCs/>
          <w:lang w:val="el" w:eastAsia="el"/>
        </w:rPr>
        <w:t xml:space="preserve"> 0,5“[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Z</w:t>
      </w:r>
      <w:r>
        <w:rPr>
          <w:b/>
          <w:bCs/>
          <w:i/>
          <w:iCs/>
          <w:lang w:val="el" w:eastAsia="el"/>
        </w:rPr>
        <w:t>X</w:t>
      </w:r>
      <w:r>
        <w:rPr>
          <w:b/>
          <w:bCs/>
          <w:i/>
          <w:iCs/>
          <w:lang w:val="el" w:eastAsia="el"/>
        </w:rPr>
        <w:t xml:space="preserve">+0,5 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 xml:space="preserve">])) 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a</w:t>
      </w:r>
      <w:r>
        <w:rPr>
          <w:b/>
          <w:bCs/>
          <w:i/>
          <w:iCs/>
          <w:lang w:val="el" w:eastAsia="el"/>
        </w:rPr>
        <w:t>z</w:t>
      </w:r>
      <w:r>
        <w:rPr>
          <w:b/>
          <w:bCs/>
          <w:i/>
          <w:iCs/>
          <w:lang w:val="el" w:eastAsia="el"/>
        </w:rPr>
        <w:t>*-[</w:t>
      </w:r>
      <w:r>
        <w:rPr>
          <w:b/>
          <w:bCs/>
          <w:i/>
          <w:iCs/>
          <w:lang w:val="el" w:eastAsia="el"/>
        </w:rPr>
        <w:t>Zx</w:t>
      </w:r>
      <w:r>
        <w:rPr>
          <w:b/>
          <w:bCs/>
          <w:i/>
          <w:iCs/>
          <w:lang w:val="el" w:eastAsia="el"/>
        </w:rPr>
        <w:t xml:space="preserve">^0.5]I'^ 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(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Z</w:t>
      </w:r>
      <w:r>
        <w:rPr>
          <w:b/>
          <w:bCs/>
          <w:i/>
          <w:iCs/>
          <w:lang w:val="el" w:eastAsia="el"/>
        </w:rPr>
        <w:t>X+</w:t>
      </w:r>
      <w:r>
        <w:rPr>
          <w:b/>
          <w:bCs/>
          <w:i/>
          <w:iCs/>
          <w:lang w:val="el" w:eastAsia="el"/>
        </w:rPr>
        <w:t xml:space="preserve"> 0,5“ 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[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Z</w:t>
      </w:r>
      <w:r>
        <w:rPr>
          <w:b/>
          <w:bCs/>
          <w:i/>
          <w:iCs/>
          <w:lang w:val="el" w:eastAsia="el"/>
        </w:rPr>
        <w:t>X+</w:t>
      </w:r>
      <w:r>
        <w:rPr>
          <w:b/>
          <w:bCs/>
          <w:i/>
          <w:iCs/>
          <w:lang w:val="el" w:eastAsia="el"/>
        </w:rPr>
        <w:t xml:space="preserve"> 0,5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 xml:space="preserve">]) 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a</w:t>
      </w:r>
      <w:r>
        <w:rPr>
          <w:b/>
          <w:bCs/>
          <w:i/>
          <w:iCs/>
          <w:lang w:val="el" w:eastAsia="el"/>
        </w:rPr>
        <w:t>z</w:t>
      </w:r>
      <w:r>
        <w:rPr>
          <w:b/>
          <w:bCs/>
          <w:i/>
          <w:iCs/>
          <w:lang w:val="el" w:eastAsia="el"/>
        </w:rPr>
        <w:t>*-[</w:t>
      </w:r>
      <w:r>
        <w:rPr>
          <w:b/>
          <w:bCs/>
          <w:i/>
          <w:iCs/>
          <w:lang w:val="el" w:eastAsia="el"/>
        </w:rPr>
        <w:t>Zx</w:t>
      </w:r>
      <w:r>
        <w:rPr>
          <w:b/>
          <w:bCs/>
          <w:i/>
          <w:iCs/>
          <w:lang w:val="el" w:eastAsia="el"/>
        </w:rPr>
        <w:t>^0.5+1]l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To επιτόκιο προεξόφλησης των περιοδικών καταβολών της σύνταξης </w:t>
      </w:r>
      <w:r>
        <w:rPr>
          <w:b/>
          <w:bCs/>
          <w:i/>
          <w:iCs/>
          <w:lang w:val="el" w:eastAsia="el"/>
        </w:rPr>
        <w:t>r</w:t>
      </w:r>
      <w:r>
        <w:rPr>
          <w:b/>
          <w:bCs/>
          <w:i/>
          <w:iCs/>
          <w:lang w:val="el" w:eastAsia="el"/>
        </w:rPr>
        <w:t xml:space="preserve">, ορίζεται σε </w:t>
      </w:r>
      <w:r>
        <w:rPr>
          <w:b/>
          <w:bCs/>
          <w:i/>
          <w:iCs/>
          <w:lang w:val="el" w:eastAsia="el"/>
        </w:rPr>
        <w:t>r</w:t>
      </w:r>
      <w:r>
        <w:rPr>
          <w:b/>
          <w:bCs/>
          <w:i/>
          <w:iCs/>
          <w:lang w:val="el" w:eastAsia="el"/>
        </w:rPr>
        <w:t xml:space="preserve"> = 1,3%. To επιτόκιο προεξόφλησης των περιοδικών καταβολών της σύνταξης επανεξετάζεται όταν προκύπτουν ακραίες εξελίξεις στην οικονομία, με γνώμονα πάντοτε την οικονομική ισορροπία του συστήματος.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Άρθρο 3</w:t>
      </w:r>
      <w:r>
        <w:rPr>
          <w:b/>
          <w:bCs/>
          <w:i/>
          <w:iCs/>
          <w:lang w:val="el" w:eastAsia="el"/>
        </w:rPr>
        <w:t xml:space="preserve">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Σύνταξη Αναπηρίας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Ως βάση υπολογισμού της σύνταξης αναπηρίας, λαμβάνεται το ποσό των συσσωρευμένων εισφορών κατά την ημερομηνία επέλευσης της αναπηρίας.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Για τον υπολογισμό των συντάξεων αναπηρίας εφαρμόζεται η μεθοδολογία που έχει περιγραφεί στις προηγούμενες παραγράφους και σε κάθε περίπτωση γίνεται χρήση της κατάλληλης ράντας.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Σε περίπτωση πρόσκαιρης καταβολής σύνταξης λόγω προσωρινής αναπηρίας και εφόσον αυτή διακοπεί, για τον υπολογισμό ποσού σύνταξης εκ νέου, ανεξαρτήτως της νέας κατηγορίας σύνταξης στην οποία ο ασφαλισμένος θα εμπίπτει, (γήρατος, αναπηρίας, θανάτου ενεργού ασφαλισμένου), λαμβάνονται υπόψη και τα πόσα των καταβολών σύνταξης που πραγματοποιήθηκαν κατά την περίοδο της προσωρινής αναπηρίας.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Ως βάση υπολογισμού της νέας σύνταξης λαμβάνεται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ί) η κεφαλαιοποιημένη διαφορά κατά την ημερομηνία έναρξης καταβολής της νέας σύνταξης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• των συσσωρευμένων εισφορών στη λήξη καταβολής της τελευταίας πρόσκαιρης σύνταξης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• των κατά διαστήματα καταβληθέντων ποσών πρόσκαιρης σύνταξης, συσσωρευμένων στη λήξη καταβολής της τελευταίας πρόσκαιρης σύνταξης.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ίί) το ποσό των νέων συσσωρευμένων εισφορών που καταβλήθηκαν μετά την τελευταία πρόσκαιρη σύνταξη, κεφαλαιοποιημένο κατά την ημερομηνία έναρξης καταβολής της νέας σύνταξης.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Άρθρο 4</w:t>
      </w:r>
      <w:r>
        <w:rPr>
          <w:b/>
          <w:bCs/>
          <w:i/>
          <w:iCs/>
          <w:lang w:val="el" w:eastAsia="el"/>
        </w:rPr>
        <w:t xml:space="preserve">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Σύνταξη δικαιοδόχων από θάνατο ενεργού ασφαλισμένου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Στα δικαιοδόχα μέλη του Θανόντος (ο/η σύζυγος - τέκνα), καταβάλλεται σύνταξη ανάλογη των συσσωρευμένων εισφορών. Στην περίπτωση που δεν υπάρχουν δικαιοδόχοι, οι εν λόγω συσσωρευμένες εισφορές ενισχύουν τυχόν ανισορροπίες του συστήματος.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Τα ορφανά τέκνα λαμβάνουν από το χρόνο του θανάτου του ενεργού ασφαλισμένου, πρόσκαιρες συντάξεις που ισοδυναμούν συνολικά με το ποσοστό </w:t>
      </w:r>
      <w:r>
        <w:rPr>
          <w:b/>
          <w:bCs/>
          <w:i/>
          <w:iCs/>
          <w:lang w:val="el" w:eastAsia="el"/>
        </w:rPr>
        <w:t>η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K</w:t>
      </w:r>
      <w:r>
        <w:rPr>
          <w:b/>
          <w:bCs/>
          <w:i/>
          <w:iCs/>
          <w:lang w:val="el" w:eastAsia="el"/>
        </w:rPr>
        <w:t xml:space="preserve"> των συσσωρευμένων εισφορών, μέχρι και το ζ* έτος της ηλικίας τους. Ο/η επιζών σύζυγος ηλικίας (χ) κατά την ημερομηνία επέλευσης του θανάτου, κατά την ηλικία έναρξης καταβολής της σύνταξης, λαμβάνει ισόβια σύνταξη που ισοδυναμεί με το ποσοστό </w:t>
      </w:r>
      <w:r>
        <w:rPr>
          <w:b/>
          <w:bCs/>
          <w:i/>
          <w:iCs/>
          <w:lang w:val="el" w:eastAsia="el"/>
        </w:rPr>
        <w:t>η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w</w:t>
      </w:r>
      <w:r>
        <w:rPr>
          <w:b/>
          <w:bCs/>
          <w:i/>
          <w:iCs/>
          <w:lang w:val="el" w:eastAsia="el"/>
        </w:rPr>
        <w:t xml:space="preserve"> των συσσωρευμένων εισφορών κατά την ημερομηνία θανάτου, όπως αυτές θα έχουν κεφαλαιοποιηθεί κατά την ημερομηνία έναρξης καταβολής της σύνταξης.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Σε κάθε περίπτωση ισχύει η σχέση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+ η^</w:t>
      </w:r>
      <w:r>
        <w:rPr>
          <w:b/>
          <w:bCs/>
          <w:i/>
          <w:iCs/>
          <w:lang w:val="el" w:eastAsia="el"/>
        </w:rPr>
        <w:t xml:space="preserve"> &lt; 1)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Για τον υπολογισμό της σύνταξης των ορφανών τέκνων από θάνατο ενεργού ισχύουν τα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όπου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c </w:t>
      </w:r>
      <w:r>
        <w:rPr>
          <w:b/>
          <w:bCs/>
          <w:i/>
          <w:iCs/>
          <w:lang w:val="el" w:eastAsia="el"/>
        </w:rPr>
        <w:t>: το πλήθος των ορφανών τέκνων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η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K</w:t>
      </w:r>
      <w:r>
        <w:rPr>
          <w:b/>
          <w:bCs/>
          <w:i/>
          <w:iCs/>
          <w:lang w:val="el" w:eastAsia="el"/>
        </w:rPr>
        <w:t xml:space="preserve"> : συνολικό ποσοστό ορφανών τέκνων </w:t>
      </w:r>
      <w:r>
        <w:rPr>
          <w:b/>
          <w:bCs/>
          <w:i/>
          <w:iCs/>
          <w:lang w:val="el" w:eastAsia="el"/>
        </w:rPr>
        <w:t>η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K</w:t>
      </w:r>
      <w:r>
        <w:rPr>
          <w:b/>
          <w:bCs/>
          <w:i/>
          <w:iCs/>
          <w:lang w:val="el" w:eastAsia="el"/>
        </w:rPr>
        <w:t>: ποσοστό ανά ορφανό τέκνο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Το ποσό των συσσωρευμένων εισφορών το χρόνο επέλευσης του θανάτου του ενεργού 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K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ασφαλισμένου, επί το ποσοστό </w:t>
      </w:r>
      <w:r>
        <w:rPr>
          <w:b/>
          <w:bCs/>
          <w:i/>
          <w:iCs/>
          <w:lang w:val="el" w:eastAsia="el"/>
        </w:rPr>
        <w:t>'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c</w:t>
      </w:r>
      <w:r>
        <w:rPr>
          <w:b/>
          <w:bCs/>
          <w:i/>
          <w:iCs/>
          <w:lang w:val="el" w:eastAsia="el"/>
        </w:rPr>
        <w:t xml:space="preserve"> αποτελεί τη βάση για τον υπολογισμό της απονεμόμενης σύνταξης κάθε ορφανού τέκνου.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Ως Δ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>x</w:t>
      </w:r>
      <w:r>
        <w:rPr>
          <w:b/>
          <w:bCs/>
          <w:i/>
          <w:iCs/>
          <w:lang w:val="el" w:eastAsia="el"/>
        </w:rPr>
        <w:t xml:space="preserve"> για τον υπολογισμό του </w:t>
      </w:r>
      <w:r>
        <w:rPr>
          <w:b/>
          <w:bCs/>
          <w:i/>
          <w:iCs/>
          <w:lang w:val="el" w:eastAsia="el"/>
        </w:rPr>
        <w:t>AF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>x</w:t>
      </w:r>
      <w:r>
        <w:rPr>
          <w:b/>
          <w:bCs/>
          <w:i/>
          <w:iCs/>
          <w:lang w:val="el" w:eastAsia="el"/>
        </w:rPr>
        <w:t xml:space="preserve"> χρησιμοποιείται ο ακόλουθος τύπος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Λ = </w:t>
      </w:r>
      <w:r>
        <w:rPr>
          <w:b/>
          <w:bCs/>
          <w:i/>
          <w:iCs/>
          <w:lang w:val="el" w:eastAsia="el"/>
        </w:rPr>
        <w:t>ο^।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χ ζ</w:t>
      </w:r>
      <w:r>
        <w:rPr>
          <w:b/>
          <w:bCs/>
          <w:i/>
          <w:iCs/>
          <w:lang w:val="el" w:eastAsia="el"/>
        </w:rPr>
        <w:t>*-</w:t>
      </w:r>
      <w:r>
        <w:rPr>
          <w:b/>
          <w:bCs/>
          <w:i/>
          <w:iCs/>
          <w:lang w:val="el" w:eastAsia="el"/>
        </w:rPr>
        <w:t>Zc</w:t>
      </w:r>
      <w:r>
        <w:rPr>
          <w:b/>
          <w:bCs/>
          <w:i/>
          <w:iCs/>
          <w:lang w:val="el" w:eastAsia="el"/>
        </w:rPr>
        <w:t xml:space="preserve">| 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όπου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a z * zc |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: παράγοντας με τον οποίο λαμβάνεται υπόψη το πλήθος των καταβολών κατά τη διάρκεια το έτους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: βέβαια ράντα </w:t>
      </w:r>
      <w:r>
        <w:rPr>
          <w:b/>
          <w:bCs/>
          <w:i/>
          <w:iCs/>
          <w:lang w:val="el" w:eastAsia="el"/>
        </w:rPr>
        <w:t>z z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>c</w:t>
      </w:r>
      <w:r>
        <w:rPr>
          <w:b/>
          <w:bCs/>
          <w:i/>
          <w:iCs/>
          <w:lang w:val="el" w:eastAsia="el"/>
        </w:rPr>
        <w:t xml:space="preserve"> ετήσιων καταβολών για κάθε ορφανό τέκνο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: η ηλικία ορφανού τέκνου </w:t>
      </w:r>
      <w:r>
        <w:rPr>
          <w:b/>
          <w:bCs/>
          <w:i/>
          <w:iCs/>
          <w:lang w:val="el" w:eastAsia="el"/>
        </w:rPr>
        <w:t>c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: η μέγιστη ηλικία τέκνου μέχρι την οποία καταβάλλεται η πρόσκαιρη σύνταξη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Για τον υπολογισμό της σύνταξης του/της συζύγου, βάση αποτελεί το ποσοστό </w:t>
      </w:r>
      <w:r>
        <w:rPr>
          <w:b/>
          <w:bCs/>
          <w:i/>
          <w:iCs/>
          <w:lang w:val="el" w:eastAsia="el"/>
        </w:rPr>
        <w:t>η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w</w:t>
      </w:r>
      <w:r>
        <w:rPr>
          <w:b/>
          <w:bCs/>
          <w:i/>
          <w:iCs/>
          <w:lang w:val="el" w:eastAsia="el"/>
        </w:rPr>
        <w:t xml:space="preserve"> των συσσωρευμένων εισφορών κατά την ημερομηνία θανάτου του ενεργού ασφαλισμένου, όπως αυτές 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 xml:space="preserve">x </w:t>
      </w:r>
      <w:r>
        <w:rPr>
          <w:b/>
          <w:bCs/>
          <w:i/>
          <w:iCs/>
          <w:lang w:val="el" w:eastAsia="el"/>
        </w:rPr>
        <w:t xml:space="preserve">για τον υπολογισμό του </w:t>
      </w:r>
      <w:r>
        <w:rPr>
          <w:b/>
          <w:bCs/>
          <w:i/>
          <w:iCs/>
          <w:lang w:val="el" w:eastAsia="el"/>
        </w:rPr>
        <w:t>AF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>x</w:t>
      </w:r>
      <w:r>
        <w:rPr>
          <w:b/>
          <w:bCs/>
          <w:i/>
          <w:iCs/>
          <w:lang w:val="el" w:eastAsia="el"/>
        </w:rPr>
        <w:t xml:space="preserve"> .</w:t>
      </w:r>
      <w:r>
        <w:rPr>
          <w:b/>
          <w:bCs/>
          <w:i/>
          <w:iCs/>
          <w:lang w:val="el" w:eastAsia="el"/>
        </w:rPr>
        <w:t>σε κάθε περίπτωση γίνεται χρήση της κατάλληλης ράντας που αντιστοιχεί στην ηλικία του/της συζύγου κατά την ημερομηνία έναρξης καταβολής της σύνταξης.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Αρθρο 5</w:t>
      </w:r>
      <w:r>
        <w:rPr>
          <w:b/>
          <w:bCs/>
          <w:i/>
          <w:iCs/>
          <w:lang w:val="el" w:eastAsia="el"/>
        </w:rPr>
        <w:t xml:space="preserve">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Υπολογισμός σύνταξης ασφαλισμένων για πρώτη φορά μέχρι την 31.12.2013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Για αυτούς που ασφαλίστηκαν πρώτη φορά μέχρι την 3Π2.2013 εφαρμόζεται αναλογικός τρόπος υπολογισμού της σύνταξης για το διάστημα πριν και μετά την 1.1.2015.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Ειδικότερα, σύμφωνα με την παρ.5 του άρθρου 42 του Ν.4052/2012, όπως ισχύει, μετά την αντικατάσταση του άρθρου 96 του Ν. 4387/2016 με το άρθρο 44 του ν. 4670/2020, για τους ασφαλισμένους μέχρι την 31.12.2013, οι οποίοι καταθέτουν αίτηση συνταξιοδότησης από την 1.1.2015 και εφεξής και εφόσον συγχρόνως η καταβολή της σύνταξης αρχίζει από 1.1.2015 και εφεξής, το ποσό της επικουρικής σύνταξης αποτελείται από το άθροισμα δύο τμημάτων: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• το τμήμα της σύνταξης που αντιστοιχεί στο χρόνο ασφάλισής τους έως 31.12.2014, το οποίο υπολογίζεται με βάση το ποσοστό αναπλήρωσης 0,45% επί των συντάξιμων αποδοχών εκάστου ασφαλισμένου που υπεβλήθησαν σε εισφορές υπέρ επικουρικής ασφάλισης επί τα έτη ασφάλισης,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• το τμήμα της σύνταξης που αντιστοιχεί στο χρόνο ασφάλισής τους από 1.1.2015 και εφεξής το οποίο υπολογίζεται σύμφωνα με το νέο σύστημα.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Άρθρο 6</w:t>
      </w:r>
      <w:r>
        <w:rPr>
          <w:b/>
          <w:bCs/>
          <w:i/>
          <w:iCs/>
          <w:lang w:val="el" w:eastAsia="el"/>
        </w:rPr>
        <w:t xml:space="preserve">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Αναπροσαρμογή Συντάξεων-Μηχανισμός Εξισορρόπησης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Η αναπροσαρμογή των καταβαλλόμενων συντάξεων καθορίζεται ως εξής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Pt</w:t>
      </w:r>
      <w:r>
        <w:rPr>
          <w:b/>
          <w:bCs/>
          <w:i/>
          <w:iCs/>
          <w:lang w:val="el" w:eastAsia="el"/>
        </w:rPr>
        <w:t xml:space="preserve"> (1+Ζ</w:t>
      </w:r>
      <w:r>
        <w:rPr>
          <w:b/>
          <w:bCs/>
          <w:i/>
          <w:iCs/>
          <w:lang w:val="el" w:eastAsia="el"/>
        </w:rPr>
        <w:t>t</w:t>
      </w:r>
      <w:r>
        <w:rPr>
          <w:b/>
          <w:bCs/>
          <w:i/>
          <w:iCs/>
          <w:lang w:val="el" w:eastAsia="el"/>
        </w:rPr>
        <w:t xml:space="preserve"> )</w:t>
      </w:r>
      <w:r>
        <w:rPr>
          <w:b/>
          <w:bCs/>
          <w:i/>
          <w:iCs/>
          <w:lang w:val="el" w:eastAsia="el"/>
        </w:rPr>
        <w:t>P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>t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 xml:space="preserve"> 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όπου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7 </w:t>
      </w:r>
      <w:r>
        <w:rPr>
          <w:b/>
          <w:bCs/>
          <w:i/>
          <w:iCs/>
          <w:lang w:val="el" w:eastAsia="el"/>
        </w:rPr>
        <w:t>t</w:t>
      </w:r>
      <w:r>
        <w:rPr>
          <w:b/>
          <w:bCs/>
          <w:i/>
          <w:iCs/>
          <w:lang w:val="el" w:eastAsia="el"/>
        </w:rPr>
        <w:t xml:space="preserve"> min ( 1 </w:t>
      </w:r>
      <w:r>
        <w:rPr>
          <w:b/>
          <w:bCs/>
          <w:i/>
          <w:iCs/>
          <w:lang w:val="el" w:eastAsia="el"/>
        </w:rPr>
        <w:t>g</w:t>
      </w:r>
      <w:r>
        <w:rPr>
          <w:b/>
          <w:bCs/>
          <w:i/>
          <w:iCs/>
          <w:lang w:val="el" w:eastAsia="el"/>
        </w:rPr>
        <w:t>t</w:t>
      </w:r>
      <w:r>
        <w:rPr>
          <w:b/>
          <w:bCs/>
          <w:i/>
          <w:iCs/>
          <w:lang w:val="el" w:eastAsia="el"/>
        </w:rPr>
        <w:t xml:space="preserve"> 2 </w:t>
      </w:r>
      <w:r>
        <w:rPr>
          <w:b/>
          <w:bCs/>
          <w:i/>
          <w:iCs/>
          <w:lang w:val="el" w:eastAsia="el"/>
        </w:rPr>
        <w:t>r</w:t>
      </w:r>
      <w:r>
        <w:rPr>
          <w:b/>
          <w:bCs/>
          <w:i/>
          <w:iCs/>
          <w:lang w:val="el" w:eastAsia="el"/>
        </w:rPr>
        <w:t xml:space="preserve"> ] - 1,CPIt-1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Pt</w:t>
      </w:r>
      <w:r>
        <w:rPr>
          <w:b/>
          <w:bCs/>
          <w:i/>
          <w:iCs/>
          <w:lang w:val="el" w:eastAsia="el"/>
        </w:rPr>
        <w:t xml:space="preserve"> : η σύνταξη έτους </w:t>
      </w:r>
      <w:r>
        <w:rPr>
          <w:b/>
          <w:bCs/>
          <w:i/>
          <w:iCs/>
          <w:lang w:val="el" w:eastAsia="el"/>
        </w:rPr>
        <w:t>t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g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>t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 xml:space="preserve"> 2</w:t>
      </w:r>
      <w:r>
        <w:rPr>
          <w:b/>
          <w:bCs/>
          <w:i/>
          <w:iCs/>
          <w:lang w:val="el" w:eastAsia="el"/>
        </w:rPr>
        <w:t xml:space="preserve"> : η ετήσια μεταβολή της βάσης υπολογισμού των εισφορών του έτους</w:t>
      </w:r>
      <w:r>
        <w:rPr>
          <w:b/>
          <w:bCs/>
          <w:i/>
          <w:iCs/>
          <w:lang w:val="el" w:eastAsia="el"/>
        </w:rPr>
        <w:t>t</w:t>
      </w:r>
      <w:r>
        <w:rPr>
          <w:b/>
          <w:bCs/>
          <w:i/>
          <w:iCs/>
          <w:lang w:val="el" w:eastAsia="el"/>
        </w:rPr>
        <w:t>2και υπολογίζεται σύμφωνα με τους τύπους του άρθρου 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r</w:t>
      </w:r>
      <w:r>
        <w:rPr>
          <w:b/>
          <w:bCs/>
          <w:i/>
          <w:iCs/>
          <w:lang w:val="el" w:eastAsia="el"/>
        </w:rPr>
        <w:t xml:space="preserve"> : επιτόκιο προεξόφλησης των περιοδικών καταβολών της σύνταξης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CPIt-1 : Δείκτης τιμών καταναλωτή του έτους</w:t>
      </w:r>
      <w:r>
        <w:rPr>
          <w:b/>
          <w:bCs/>
          <w:i/>
          <w:iCs/>
          <w:lang w:val="el" w:eastAsia="el"/>
        </w:rPr>
        <w:t>t</w:t>
      </w:r>
      <w:r>
        <w:rPr>
          <w:b/>
          <w:bCs/>
          <w:i/>
          <w:iCs/>
          <w:lang w:val="el" w:eastAsia="el"/>
        </w:rPr>
        <w:t>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Σύμφωνα με τις παρ. 2 και 3 του άρθρου 42 του ν. 4052/ 2012, όπως ισχύουν, οι συντάξεις δεν αναπροσαρμόζονται στην περίπτωση που αν αφαιρεθούν τα έξοδα από τα έσοδα, το αποτέλεσμα θα προκύπτει αρνητικό, λαμβάνοντας υπόψη τα απολογιστικά στοιχεία της προηγούμενης χρήσης.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Κατά τη χρονική περίοδο αυξημένων εισφορών, σύμφωνα με τα οριζόμενα στο άρθρο 97 του ν. 4387/2016, οι συντάξεις δεν αναπροσαρμόζονται στην περίπτωση που, αν αφαιρεθούν τα έξοδα από τα έσοδα του Ταμείου, το αποτέλεσμα είναι είτε αρνητικό είτε μικρότερο από το 0,5% των εισφορών, λαμβάνοντας υπόψη τα απολογιστικά στοιχεία της προηγούμενης χρήσης.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Χρήση περιουσιακών στοιχείων του Κλάδου της Επικουρικής Ασφάλισης επιτρέπεται μόνον στην περίπτωση δημιουργίας ελλειμμάτων παρά την εφαρμογή των ανωτέρω διατάξεων.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i/>
          <w:iCs/>
          <w:lang w:val="el" w:eastAsia="el"/>
        </w:rPr>
        <w:t>Άρθρο 7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Γενικά Θέματα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Οι ράντες που λαμβάνονται υπόψη για τον υπολογισμό της κατά περίπτωση σύνταξης, υπολογίζονται από την Εθνική Αναλογιστική Αρχή, με βάση πίνακες που παρέχονται από την Ελληνική Στατιστική Αρχή.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Οι ράντες υπολογίζονται για πρώτη φορά εντός του 2016, οι οποίες και χρησιμοποιούνται έως το 2020. Από το 2021 και εφεξής αυτές επικαιροποιούνται ανά τριετία.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Οι πίνακες με τις ράντες δημοσιεύονται στον ιστότοπο της Εθνικής Αναλογιστικής Αρχής και του e- Ε.Φ.Κ.Α.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Αθήνα, 6 Μαΐου 2020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Ο 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ΙΩΑΝΝΗΣ ΒΡΟΥΤΣΗΣ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 xml:space="preserve"> Τις διατάξεις του άρθρου 42 παρ. 4 του ν. 4052/2012 (Α’ 41), όπως ισχύει μετά την αντικατάσταση του άρθρου 96 του ν. 4387/2016 ( Α’ 85) με το άρθρο 44 του ν. 4670/ 2020 (Α’ 43).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