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 Δ/ΝΣΗ ΔΙΕΘΝΩΝ ΟΙΚΟΝΟΜΙΚΩΝ ΣΧΕΣΕΩΝ ΤΜΗΜΑ Γ΄ - ΔΙΕΘΝΟΥΣ ΔΙΟΙΚΗΤΙΚΗΣ ΣΥΝΕΡΓΑΣΙΑΣ</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Τηλ/πία Ηλ. δ/νση</w:t>
      </w:r>
    </w:p>
    <w:p>
      <w:pPr>
        <w:pStyle w:val="PreambelText"/>
        <w:spacing w:before="240" w:after="240"/>
        <w:rPr>
          <w:lang w:val="el" w:eastAsia="el"/>
        </w:rPr>
      </w:pPr>
      <w:r>
        <w:rPr>
          <w:b/>
          <w:bCs/>
          <w:lang w:val="el" w:eastAsia="el"/>
        </w:rPr>
        <w:t>Ιστοσελίδα</w:t>
      </w:r>
    </w:p>
    <w:p>
      <w:pPr>
        <w:pStyle w:val="PreambelText"/>
        <w:spacing w:before="240" w:after="240"/>
        <w:rPr>
          <w:lang w:val="el" w:eastAsia="el"/>
        </w:rPr>
      </w:pPr>
      <w:r>
        <w:rPr>
          <w:lang w:val="el" w:eastAsia="el"/>
        </w:rPr>
        <w:t>Καρ. Σερβίας 8</w:t>
      </w:r>
    </w:p>
    <w:p>
      <w:pPr>
        <w:pStyle w:val="PreambelText"/>
        <w:spacing w:before="240" w:after="240"/>
        <w:rPr>
          <w:lang w:val="el" w:eastAsia="el"/>
        </w:rPr>
      </w:pPr>
      <w:r>
        <w:rPr>
          <w:lang w:val="el" w:eastAsia="el"/>
        </w:rPr>
        <w:t>101 84 Αθήνα</w:t>
      </w:r>
    </w:p>
    <w:p>
      <w:pPr>
        <w:pStyle w:val="PreambelText"/>
        <w:spacing w:before="240" w:after="240"/>
        <w:rPr>
          <w:lang w:val="el" w:eastAsia="el"/>
        </w:rPr>
      </w:pPr>
      <w:r>
        <w:rPr>
          <w:lang w:val="el" w:eastAsia="el"/>
        </w:rPr>
        <w:t>210 - 33 75 868</w:t>
      </w:r>
    </w:p>
    <w:p>
      <w:pPr>
        <w:pStyle w:val="PreambelText"/>
        <w:spacing w:before="240" w:after="240"/>
        <w:rPr>
          <w:lang w:val="el" w:eastAsia="el"/>
        </w:rPr>
      </w:pPr>
      <w:r>
        <w:rPr>
          <w:lang w:val="el" w:eastAsia="el"/>
        </w:rPr>
        <w:t xml:space="preserve">210 - 33 75 854 </w:t>
      </w:r>
      <w:hyperlink r:id="rId4" w:history="1">
        <w:r>
          <w:rPr>
            <w:rStyle w:val="Hyperlink"/>
            <w:color w:val="0000EE"/>
            <w:u w:color="0000EE"/>
            <w:lang w:val="el" w:eastAsia="el"/>
          </w:rPr>
          <w:t>dos.c@aade.gr</w:t>
        </w:r>
      </w:hyperlink>
      <w:hyperlink r:id="rId5" w:history="1">
        <w:r>
          <w:rPr>
            <w:rStyle w:val="Hyperlink"/>
            <w:color w:val="0000EE"/>
            <w:u w:color="0000EE"/>
            <w:lang w:val="el" w:eastAsia="el"/>
          </w:rPr>
          <w:t>www .aade .gr</w:t>
        </w:r>
      </w:hyperlink>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Ω9ΨΞ46ΜΠ3Ζ-Υ5Ε</w:t>
      </w:r>
    </w:p>
    <w:p>
      <w:pPr>
        <w:pStyle w:val="PreambelText"/>
        <w:spacing w:before="240" w:after="240"/>
        <w:rPr>
          <w:lang w:val="el" w:eastAsia="el"/>
        </w:rPr>
      </w:pPr>
      <w:r>
        <w:rPr>
          <w:b/>
          <w:bCs/>
          <w:lang w:val="el" w:eastAsia="el"/>
        </w:rPr>
        <w:t>Αριθ. ΦΕΚ: Β' 1851</w:t>
      </w:r>
    </w:p>
    <w:p>
      <w:pPr>
        <w:pStyle w:val="PreambelText"/>
        <w:spacing w:before="240" w:after="240"/>
        <w:rPr>
          <w:lang w:val="el" w:eastAsia="el"/>
        </w:rPr>
      </w:pPr>
      <w:r>
        <w:rPr>
          <w:b/>
          <w:bCs/>
          <w:lang w:val="el" w:eastAsia="el"/>
        </w:rPr>
        <w:t>Αθήνα, 8 Μαΐου 2020</w:t>
      </w:r>
    </w:p>
    <w:p>
      <w:pPr>
        <w:pStyle w:val="PreambelText"/>
        <w:spacing w:before="240" w:after="240"/>
        <w:rPr>
          <w:lang w:val="el" w:eastAsia="el"/>
        </w:rPr>
      </w:pPr>
      <w:r>
        <w:rPr>
          <w:b/>
          <w:bCs/>
          <w:lang w:val="el" w:eastAsia="el"/>
        </w:rPr>
        <w:t>Α. 1109</w:t>
      </w:r>
    </w:p>
    <w:p>
      <w:pPr>
        <w:pStyle w:val="PreambelText"/>
        <w:spacing w:before="240" w:after="240"/>
        <w:rPr>
          <w:lang w:val="el" w:eastAsia="el"/>
        </w:rPr>
      </w:pPr>
      <w:r>
        <w:rPr>
          <w:lang w:val="el" w:eastAsia="el"/>
        </w:rPr>
        <w:t>ΠΡΟΣ: ΑΠΟΔΕΚΤΕΣ Π.Δ.</w:t>
      </w:r>
    </w:p>
    <w:p>
      <w:pPr>
        <w:pStyle w:val="PreambelText"/>
        <w:spacing w:before="240" w:after="240"/>
        <w:rPr>
          <w:lang w:val="el" w:eastAsia="el"/>
        </w:rPr>
      </w:pPr>
      <w:r>
        <w:rPr>
          <w:lang w:val="el" w:eastAsia="el"/>
        </w:rPr>
        <w:t>ΚΟΙΝ.: ΑΠΟΔΕΚΤΕΣ Π.Δ.</w:t>
      </w:r>
    </w:p>
    <w:p>
      <w:pPr>
        <w:pStyle w:val="PreambelText"/>
        <w:spacing w:before="240" w:after="240"/>
        <w:rPr>
          <w:lang w:val="el" w:eastAsia="el"/>
        </w:rPr>
      </w:pPr>
      <w:r>
        <w:rPr>
          <w:lang w:val="el" w:eastAsia="el"/>
        </w:rPr>
        <w:t xml:space="preserve">2. </w:t>
      </w:r>
      <w:r>
        <w:rPr>
          <w:b/>
          <w:bCs/>
          <w:lang w:val="el" w:eastAsia="el"/>
        </w:rPr>
        <w:t>ΓΕΝΙΚΗ Δ/ΝΣΗ ΗΛΕΚΤΡΟΝΙΚΗΣ ΔΙΑΚΥΒΕΡΝΗΣΗΣ</w:t>
      </w:r>
    </w:p>
    <w:p>
      <w:pPr>
        <w:pStyle w:val="PreambelText"/>
        <w:spacing w:before="240" w:after="240"/>
        <w:rPr>
          <w:lang w:val="el" w:eastAsia="el"/>
        </w:rPr>
      </w:pPr>
      <w:r>
        <w:rPr>
          <w:b/>
          <w:bCs/>
          <w:lang w:val="el" w:eastAsia="el"/>
        </w:rPr>
        <w:t>Δ/ΝΣΗ ΥΠΗΡΕΣΙΩΝ ΔΕΔΟΜΕΝΩΝ</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ΑΥΤΟΜΑΤΗΣ ΑΝΤΑΛΛΑΓΗΣ ΠΛΗΡΟΦΟΡΩΝ ΜΕ ΑΛΛΕΣ ΔΙΚΑΙΟΔΟΣΙΕΣ</w:t>
      </w:r>
    </w:p>
    <w:p>
      <w:pPr>
        <w:spacing w:before="240" w:after="240"/>
        <w:rPr>
          <w:lang w:val="el" w:eastAsia="el"/>
        </w:rPr>
      </w:pPr>
      <w:r>
        <w:rPr>
          <w:lang w:val="el" w:eastAsia="el"/>
        </w:rPr>
        <w:t>Χανδρή 1 &amp; Θεσσαλονίκης 8 183 46 Μοσχάτο</w:t>
      </w:r>
    </w:p>
    <w:p>
      <w:pPr>
        <w:spacing w:before="240" w:after="240"/>
        <w:rPr>
          <w:lang w:val="el" w:eastAsia="el"/>
        </w:rPr>
      </w:pPr>
      <w:r>
        <w:rPr>
          <w:lang w:val="el" w:eastAsia="el"/>
        </w:rPr>
        <w:t>210 - 480 22 64 , 480 27 48</w:t>
      </w:r>
    </w:p>
    <w:p>
      <w:pPr>
        <w:spacing w:before="240" w:after="240"/>
        <w:rPr>
          <w:lang w:val="el" w:eastAsia="el"/>
        </w:rPr>
      </w:pPr>
      <w:hyperlink r:id="rId6" w:history="1">
        <w:r>
          <w:rPr>
            <w:rStyle w:val="Hyperlink"/>
            <w:color w:val="0000EE"/>
            <w:u w:color="0000EE"/>
            <w:lang w:val="el" w:eastAsia="el"/>
          </w:rPr>
          <w:t>a.karavida@aade.gr</w:t>
        </w:r>
      </w:hyperlink>
    </w:p>
    <w:p>
      <w:pPr>
        <w:spacing w:before="240" w:after="240"/>
        <w:rPr>
          <w:lang w:val="el" w:eastAsia="el"/>
        </w:rPr>
      </w:pP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Θέμα: Παράταση της προθεσμίας υποβολής πληροφοριών και μηδενικών αναφορών ( nil reporting) σχετικά με το έτος 2019 από τα Δηλούντα Ελληνικά Χρηματοπιστωτικά Ιδρύματα στο πλαίσιο εφαρμογής του ν. 4493/2017 (Α’ 164) και της αριθ. ΠΟΛ. 1094/21.5.2018 απόφασης του Διοικητή της ΑΑΔΕ (Β’ 1891).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έκτου παρ. 2, περίπτ. β’ του ν. 4493/2017 (Α’ 164) « Κύρωση του Μνημονίου Συνεννόησης και της Συμφωνίας μεταξύ της Κυβέρνησης της Ελληνικής Δημοκρατίας και της Κυβέρνησης των Ηνωμένων Πολιτειών της Αμερικής για τη βελτίωση της διεθνούς φορολογικής συμμόρφωσης και την εφαρμογή του νόμου περί Φορολογικής Συμμόρφωσης Λογαριασμών της Αλλοδαπής (FATCA), καθώς και της Συμφωνίας Αρμόδιων Αρχών και διατάξεις εφαρμογής», σε συνδυασμό με τις διατάξεις του άρθρου τρίτου παρ. 1, περίπτ. α’ και παρ. 2, περίπτ. α’ του ίδιου νόμου και του άρθρου 3(5) της κυρωθείσας Συμφωνίας.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Πρώτου Μέρους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των άρθρων 1, 2, 13, 14, 17 και 41, όπως ισχύουν.</w:t>
      </w:r>
    </w:p>
    <w:p>
      <w:pPr>
        <w:spacing w:before="240" w:after="240"/>
        <w:rPr>
          <w:lang w:val="el" w:eastAsia="el"/>
        </w:rPr>
      </w:pPr>
      <w:r>
        <w:rPr>
          <w:b/>
          <w:bCs/>
          <w:lang w:val="el" w:eastAsia="el"/>
        </w:rPr>
        <w:t>2. Την αριθ. ΠΟΛ. 1094/21.5.2018 (Β’ 1891) απόφαση του Διοικητή της ΑΑΔΕ «Καθορισμός των αρμόδιων υπηρεσιών της Ανεξάρτητης Αρχής Δημοσίων Εσόδων δυνάμει της περίπτ. α’ της παρ. 1 του άρθρου τρίτου του ν. 4493/2017 (Α’ 164) σε συνδυασμό με τις παρ. 1, 2 και 5 του άρθρου 5 του ν. 4170/2013 (Α’ 163), και εξειδίκευση των υποχρεώσεων των Δηλούντων Ελληνικών Χρηματοπιστωτικών Ιδρυμάτων ως προς τον χρόνο και τον τρόπο υποβολής των στοιχείων σχετικά με την αυτόματη ανταλλαγή πληροφοριών χρηματοοικονομικών λογαριασμών δυνάμει του άρθρου έκτου παρ. 2 του ν. 4493/2017» και ιδίως το άρθρο 1 παρ. 1 και 2 και το άρθρο 2 αυτής.</w:t>
      </w:r>
    </w:p>
    <w:p>
      <w:pPr>
        <w:spacing w:before="240" w:after="240"/>
        <w:rPr>
          <w:lang w:val="el" w:eastAsia="el"/>
        </w:rPr>
      </w:pPr>
      <w:r>
        <w:rPr>
          <w:b/>
          <w:bCs/>
          <w:lang w:val="el" w:eastAsia="el"/>
        </w:rPr>
        <w:t>3. Την από 14.4.2020 Συχνή Ερώτηση του Υπουργείου Οικονομικών και της Υπηρεσίας Εσωτερικών Εσόδων των ΗΠΑ, όπως δημοσιεύθηκε στον ιστότοπο της Υπηρεσίας Εσωτερικών Εσόδων των ΗΠΑ (βλ.</w:t>
      </w:r>
      <w:hyperlink r:id="rId8" w:history="1">
        <w:r>
          <w:rPr>
            <w:rStyle w:val="Hyperlink"/>
            <w:b/>
            <w:bCs/>
            <w:color w:val="0000EE"/>
            <w:u w:color="0000EE"/>
            <w:lang w:val="el" w:eastAsia="el"/>
          </w:rPr>
          <w:t>https://www.irs.gov/businesses/corporations/frequently-asked-questions-faqs-fatca-</w:t>
        </w:r>
      </w:hyperlink>
      <w:hyperlink r:id="rId9" w:history="1">
        <w:r>
          <w:rPr>
            <w:rStyle w:val="Hyperlink"/>
            <w:b/>
            <w:bCs/>
            <w:color w:val="0000EE"/>
            <w:u w:color="0000EE"/>
            <w:lang w:val="el" w:eastAsia="el"/>
          </w:rPr>
          <w:t>compliance-legal#reporting</w:t>
        </w:r>
        <w:r>
          <w:rPr>
            <w:rStyle w:val="Hyperlink"/>
            <w:b/>
            <w:bCs/>
            <w:color w:val="0000EE"/>
            <w:u w:color="0000EE"/>
            <w:lang w:val="el" w:eastAsia="el"/>
          </w:rPr>
          <w:t>)</w:t>
        </w:r>
      </w:hyperlink>
      <w:r>
        <w:rPr>
          <w:b/>
          <w:bCs/>
          <w:u w:val="single"/>
          <w:lang w:val="el" w:eastAsia="el"/>
        </w:rPr>
        <w:t>.</w:t>
      </w:r>
    </w:p>
    <w:p>
      <w:pPr>
        <w:spacing w:before="240" w:after="240"/>
        <w:rPr>
          <w:lang w:val="el" w:eastAsia="el"/>
        </w:rPr>
      </w:pPr>
      <w:r>
        <w:rPr>
          <w:b/>
          <w:bCs/>
          <w:u w:val="single"/>
          <w:lang w:val="el" w:eastAsia="el"/>
        </w:rPr>
        <w:t>4. Την αριθ. Δ. ΟΡΓ. Α 1036960 ΕΞ 2017/10.3.2017 (Β’ 968 και Β’ 1238) απόφαση του Διοικητή της ΑΑΔΕ «Οργανισμός της Ανεξάρτητης Αρχής Δημοσίων Εσόδων (Α.Α.Δ.Ε.)», όπως τροποποιήθηκε, συμπληρώθηκε και ισχύει.</w:t>
      </w:r>
    </w:p>
    <w:p>
      <w:pPr>
        <w:spacing w:before="240" w:after="240"/>
        <w:rPr>
          <w:lang w:val="el" w:eastAsia="el"/>
        </w:rPr>
      </w:pPr>
      <w:r>
        <w:rPr>
          <w:b/>
          <w:bCs/>
          <w:u w:val="single"/>
          <w:lang w:val="el" w:eastAsia="el"/>
        </w:rPr>
        <w:t>5.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u w:val="single"/>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τις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7. Την εισήγηση της Δ/νσης ΔΟΣ της ΑΑΔΕ, ως αρμόδιας αρχής, κατά το άρθρο 5 παρ. 1 του ν. 4170/2013, δυνάμει της διάταξης του άρθρου τρίτου παρ. 1, περίπτ. α’ του ν. 4493/2017.</w:t>
      </w:r>
    </w:p>
    <w:p>
      <w:pPr>
        <w:spacing w:before="240" w:after="240"/>
        <w:rPr>
          <w:lang w:val="el" w:eastAsia="el"/>
        </w:rPr>
      </w:pPr>
      <w:r>
        <w:rPr>
          <w:b/>
          <w:bCs/>
          <w:u w:val="single"/>
          <w:lang w:val="el" w:eastAsia="el"/>
        </w:rPr>
        <w:t>8. Την ανάγκη διευκόλυνσης των Δηλούντων Ελληνικών Χρηματοπιστωτικών Ιδρυμάτων για την εκπλήρωση των υποχρεώσεών τους στο πλαίσιο εφαρμογής των κανόνων δέουσας επιμέλειας και υποβολής πληροφοριών που περιλαμβάνονται στην κυρωθείσα Συμφωνία και τα Παραρτήματα Ι και ΙΙ αυτής, καθώς και του Μνημονίου Συνεννόησης, κατά τη διάρκεια των μέτρων αντιμετώπισης της διασποράς του κορωνοϊού COVID-19, προκειμένου να διασφαλιστεί η αποτελεσματική αυτόματη ανταλλαγή πληροφοριών χρηματοοικονομικών λογαριασμών μεταξύ των Αρμόδιων Αρχών της Ελληνικής Δημοκρατίας και των ΗΠΑ, όπως ειδικότερα ορίζεται στη Συμφωνία Αρμόδιων Αρχών (ΣΑΑ).</w:t>
      </w:r>
    </w:p>
    <w:p>
      <w:pPr>
        <w:spacing w:before="240" w:after="240"/>
        <w:rPr>
          <w:lang w:val="el" w:eastAsia="el"/>
        </w:rPr>
      </w:pPr>
      <w:r>
        <w:rPr>
          <w:b/>
          <w:bCs/>
          <w:u w:val="single"/>
          <w:lang w:val="el" w:eastAsia="el"/>
        </w:rPr>
        <w:t>9.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1. Παρατείνεται η προθεσμία υποβολής πληροφοριών και μηδενικών αναφορών (nil reporting) σχετικά με το έτος 2019 από τα Δηλούντα Ελληνικά Χρηματοπιστωτικά Ιδρύματα προς την ΑΑΔΕ, στο πλαίσιο εφαρμογής του ν. 4493/2017 και της αριθ. ΠΟΛ. 1094/21.5.2018 απόφασης του Διοικητή της ΑΑΔΕ, έως την 30η Σεπτεμβρίου 2020.</w:t>
      </w:r>
    </w:p>
    <w:p>
      <w:pPr>
        <w:spacing w:before="240" w:after="240"/>
        <w:rPr>
          <w:lang w:val="el" w:eastAsia="el"/>
        </w:rPr>
      </w:pPr>
      <w:r>
        <w:rPr>
          <w:b/>
          <w:bCs/>
          <w:u w:val="single"/>
          <w:lang w:val="el" w:eastAsia="el"/>
        </w:rPr>
        <w:t>2. 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Υπηρεσιών Δεδομένων</w:t>
      </w:r>
    </w:p>
    <w:p>
      <w:pPr>
        <w:spacing w:before="240" w:after="240"/>
        <w:rPr>
          <w:lang w:val="el" w:eastAsia="el"/>
        </w:rPr>
      </w:pPr>
      <w:r>
        <w:rPr>
          <w:b/>
          <w:bCs/>
          <w:u w:val="single"/>
          <w:lang w:val="el" w:eastAsia="el"/>
        </w:rPr>
        <w:t>3. 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4. Πίνακες Αποδεκτών: Α’ (με α/α 1) εκτός των ως άνω υπηρεσιών με α/α 2 και 3, Β’ (με α/α 4 και</w:t>
      </w:r>
    </w:p>
    <w:p>
      <w:pPr>
        <w:spacing w:before="240" w:after="240"/>
        <w:rPr>
          <w:lang w:val="el" w:eastAsia="el"/>
        </w:rPr>
      </w:pPr>
      <w:r>
        <w:rPr>
          <w:b/>
          <w:bCs/>
          <w:u w:val="single"/>
          <w:lang w:val="el" w:eastAsia="el"/>
        </w:rPr>
        <w:t>5) και Γ’</w:t>
      </w:r>
    </w:p>
    <w:p>
      <w:pPr>
        <w:spacing w:before="240" w:after="240"/>
        <w:rPr>
          <w:lang w:val="el" w:eastAsia="el"/>
        </w:rPr>
      </w:pPr>
      <w:r>
        <w:rPr>
          <w:b/>
          <w:bCs/>
          <w:u w:val="single"/>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7. Ελληνική Ένωση Τραπεζών (με την παράκληση να κοινοποιηθεί σε όλα τα μέλη της)</w:t>
      </w:r>
    </w:p>
    <w:p>
      <w:pPr>
        <w:spacing w:before="240" w:after="240"/>
        <w:rPr>
          <w:lang w:val="el" w:eastAsia="el"/>
        </w:rPr>
      </w:pPr>
      <w:r>
        <w:rPr>
          <w:b/>
          <w:bCs/>
          <w:u w:val="single"/>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u w:val="single"/>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u w:val="single"/>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u w:val="single"/>
          <w:lang w:val="el" w:eastAsia="el"/>
        </w:rPr>
        <w:t>11. Όμιλος Χρηματιστηρίου Αθηνών</w:t>
      </w:r>
    </w:p>
    <w:p>
      <w:pPr>
        <w:spacing w:before="240" w:after="240"/>
        <w:rPr>
          <w:lang w:val="el" w:eastAsia="el"/>
        </w:rPr>
      </w:pPr>
      <w:r>
        <w:rPr>
          <w:b/>
          <w:bCs/>
          <w:u w:val="single"/>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κ. Υφυπουργού αρμόδιου για θέματα Φορολογικής Πολιτικής και Δημόσιας Περιουσίας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κ. Υφυπουργού αρμόδιου για το Χρηματοπιστωτικό Σύστημα</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Γραφείο κας. Γενικής Γραμματέως Φορολογικής Πολιτικής και Δημόσιας Περιουσίας</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Γραφείο κ. Γενικού Γραμματέα Πληροφοριακών Συστημάτων Δημόσιας Διοίκησης</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Γραφείο κ. Γενικού Γραμματέα Οικονομικής Πολιτικής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Γραφείο Προϊσταμένου Γενικής Δ/νσης Οικονομικής Πολιτικής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Δ/νση Χρηματοοικονομικής Πολιτικής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Δ/νση Φορολογικής Πολιτικής</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Δ/νση Ευρωπαϊκής Ένωσης και Διεθνών Σχέσεων</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Μονάδα Εσωτερικού Ελέγχου</w:t>
      </w:r>
    </w:p>
    <w:p>
      <w:pPr>
        <w:spacing w:before="240" w:after="240"/>
        <w:rPr>
          <w:lang w:val="el" w:eastAsia="el"/>
        </w:rPr>
      </w:pPr>
      <w:r>
        <w:rPr>
          <w:b/>
          <w:bCs/>
          <w:u w:val="single"/>
          <w:lang w:val="el" w:eastAsia="el"/>
        </w:rPr>
        <w:t>2. Μόνιμη Ελληνική Αντιπροσωπεία (ΜΕΑ) στον ΟΟΣΑ</w:t>
      </w:r>
    </w:p>
    <w:p>
      <w:pPr>
        <w:spacing w:before="240" w:after="240"/>
        <w:rPr>
          <w:lang w:val="el" w:eastAsia="el"/>
        </w:rPr>
      </w:pPr>
      <w:r>
        <w:rPr>
          <w:b/>
          <w:bCs/>
          <w:u w:val="single"/>
          <w:lang w:val="el" w:eastAsia="el"/>
        </w:rPr>
        <w:t>3. Πίνακες Αποδεκτών: Α΄ (με α/α 2 έως 4), Β’ (με α/α 1 έως 3), Ζ΄ (με α/α 1, 3, 4 και 7), Η΄ (με α/α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κ. Διοικητή της ΑΑΔΕ</w:t>
      </w:r>
    </w:p>
    <w:p>
      <w:pPr>
        <w:spacing w:before="240" w:after="240"/>
        <w:rPr>
          <w:lang w:val="el" w:eastAsia="el"/>
        </w:rPr>
      </w:pPr>
      <w:r>
        <w:rPr>
          <w:b/>
          <w:bCs/>
          <w:u w:val="single"/>
          <w:lang w:val="el" w:eastAsia="el"/>
        </w:rPr>
        <w:t>2. Προϊσταμένους Γενικών Δ/νσεων της ΑΑΔΕ</w:t>
      </w:r>
    </w:p>
    <w:p>
      <w:pPr>
        <w:spacing w:before="240" w:after="240"/>
        <w:rPr>
          <w:lang w:val="el" w:eastAsia="el"/>
        </w:rPr>
      </w:pPr>
      <w:r>
        <w:rPr>
          <w:b/>
          <w:bCs/>
          <w:u w:val="single"/>
          <w:lang w:val="el" w:eastAsia="el"/>
        </w:rPr>
        <w:t>3. Δ/νση Νομικής Υποστήριξης</w:t>
      </w:r>
    </w:p>
    <w:p>
      <w:pPr>
        <w:spacing w:before="240" w:after="240"/>
        <w:rPr>
          <w:lang w:val="el" w:eastAsia="el"/>
        </w:rPr>
      </w:pPr>
      <w:r>
        <w:rPr>
          <w:b/>
          <w:bCs/>
          <w:u w:val="single"/>
          <w:lang w:val="el" w:eastAsia="el"/>
        </w:rPr>
        <w:t>4. Δ/νση Διεθνών Οικονομικών Σχέσεων, Τμήματα Α’ και Γ’</w:t>
      </w:r>
    </w:p>
    <w:p>
      <w:pPr>
        <w:spacing w:before="240" w:after="240"/>
        <w:rPr>
          <w:lang w:val="el" w:eastAsia="el"/>
        </w:rPr>
      </w:pPr>
      <w:r>
        <w:rPr>
          <w:b/>
          <w:bCs/>
          <w:u w:val="single"/>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mailto:a.karavida@aade.gr" TargetMode="External" /><Relationship Id="rId7" Type="http://schemas.openxmlformats.org/officeDocument/2006/relationships/hyperlink" Target="http://www.aade.gr" TargetMode="External" /><Relationship Id="rId8" Type="http://schemas.openxmlformats.org/officeDocument/2006/relationships/hyperlink" Target="https://www.irs.gov/businesses/corporations/frequently-asked-questions-faqs-fatca-compliance-legal%23reporting" TargetMode="External" /><Relationship Id="rId9" Type="http://schemas.openxmlformats.org/officeDocument/2006/relationships/hyperlink" Target="https://www.irs.gov/businesses/corporations/frequently-asked-questions-faqs-fatca-compliance-legal%23repor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