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 ΔΙΕΥΘΥΝΣΗ ΕΙΔΙΚΩΝ ΦΟΡΩΝ ΚΑΤΑΝΑΛΩΣΗΣ &amp; Φ.Π.Α.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Φορολογίας Ενεργειακών Προϊόντων, Γενικού Καθεστώτος Ε.Φ.Κ. και Διοικητικής Συνεργασίας</w:t>
      </w:r>
    </w:p>
    <w:p>
      <w:pPr>
        <w:spacing w:before="240" w:after="240"/>
        <w:rPr>
          <w:lang w:val="el" w:eastAsia="el"/>
        </w:rPr>
      </w:pPr>
      <w:r>
        <w:rPr>
          <w:lang w:val="el" w:eastAsia="el"/>
        </w:rPr>
        <w:t>Καρ. Σερβίας 10 101 84</w:t>
      </w:r>
    </w:p>
    <w:p>
      <w:pPr>
        <w:spacing w:before="240" w:after="240"/>
        <w:rPr>
          <w:lang w:val="el" w:eastAsia="el"/>
        </w:rPr>
      </w:pPr>
      <w:r>
        <w:rPr>
          <w:lang w:val="el" w:eastAsia="el"/>
        </w:rPr>
        <w:t xml:space="preserve">Αικ. Κούκουνα 210-6987410 210-6987408 </w:t>
      </w:r>
      <w:hyperlink r:id="rId4" w:history="1">
        <w:r>
          <w:rPr>
            <w:rStyle w:val="Hyperlink"/>
            <w:color w:val="0000EE"/>
            <w:u w:color="0000EE"/>
            <w:lang w:val="el" w:eastAsia="el"/>
          </w:rPr>
          <w:t>finexxcis@otexnext.gr</w:t>
        </w:r>
      </w:hyperlink>
      <w:hyperlink r:id="rId5" w:history="1">
        <w:r>
          <w:rPr>
            <w:rStyle w:val="Hyperlink"/>
            <w:color w:val="0000EE"/>
            <w:u w:color="0000EE"/>
            <w:lang w:val="el" w:eastAsia="el"/>
          </w:rPr>
          <w:t>www.aadex.gr</w:t>
        </w:r>
      </w:hyperlink>
    </w:p>
    <w:p>
      <w:pPr>
        <w:spacing w:before="240" w:after="240"/>
        <w:rPr>
          <w:lang w:val="el" w:eastAsia="el"/>
        </w:rPr>
      </w:pPr>
      <w:r>
        <w:rPr>
          <w:b/>
          <w:bCs/>
          <w:lang w:val="el" w:eastAsia="el"/>
        </w:rPr>
        <w:t>Θέμα: Παράταση της προθεσμίας αποδοχής ή απόρριψης των ηλεκτρονικών αιτήσεων από τις τελωνειακές αρχές για την επιστροφή Ε.Φ.Κ. καυσίμων στους δικαιούχους επιστροφής κατ’ εφαρμογή της αριθμ. Α. 1072/22-2-2019 Απόφασης Διοικητή ΑΑΔΕ (ΦΕΚ 750/Β΄).</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3 καθώς και τις διατάξεις του πρώτου εδαφίου της παραγράφου 6 του άρθρου 78 του ν. 2960/2001(ΦΕΚ Α΄265) «Εθνικός Τελωνειακός Κώδικας», όπως ισχύουν.</w:t>
      </w:r>
    </w:p>
    <w:p>
      <w:pPr>
        <w:pStyle w:val="StructureList1"/>
        <w:spacing w:before="120" w:after="0"/>
        <w:rPr>
          <w:lang w:val="el" w:eastAsia="el"/>
        </w:rPr>
      </w:pPr>
      <w:r>
        <w:rPr>
          <w:lang w:val="el" w:eastAsia="el"/>
        </w:rPr>
        <w:t>β)</w:t>
      </w:r>
      <w:r>
        <w:rPr>
          <w:lang w:val="en" w:eastAsia="en"/>
        </w:rPr>
        <w:tab/>
      </w:r>
      <w:r>
        <w:rPr>
          <w:lang w:val="el" w:eastAsia="el"/>
        </w:rPr>
        <w:t>της παραγράφου 1 του άρθρου 3 και της παραγράφου 7 του άρθρου 4 της αριθμ Α.1072/22-2-2019 απόφασης Διοικητή ΑΑΔΕ (ΦΕΚ 750/Β΄) « Καθορισμός των προϋποθέσεων, των δικαιολογητικών και της διαδικασίας επιστροφής του Ειδικού Φόρου Κατανάλωσης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καθώς και του τρόπου ελέγχου της νόμιμης χρησιμοποίησης αυτού», όπως ισχύει.</w:t>
      </w:r>
    </w:p>
    <w:p>
      <w:pPr>
        <w:spacing w:before="240" w:after="240"/>
        <w:rPr>
          <w:lang w:val="el" w:eastAsia="el"/>
        </w:rPr>
      </w:pPr>
      <w:r>
        <w:rPr>
          <w:lang w:val="el" w:eastAsia="el"/>
        </w:rPr>
        <w:t>2. Το Κεφάλαιο Α΄ «Σύσταση Ανεξάρτητης Αρχής Δημοσίων Εσόδων» του Μέρους Πρώτου του ν.4389/2016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το άρθρο 7, της παραγράφου 1 του άρθρου 14 και το άρθρο 41 αυτού.</w:t>
      </w:r>
    </w:p>
    <w:p>
      <w:pPr>
        <w:spacing w:before="240" w:after="240"/>
        <w:rPr>
          <w:lang w:val="el" w:eastAsia="el"/>
        </w:rPr>
      </w:pPr>
      <w:r>
        <w:rPr>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παρ. 10 του ν. 4389/2016 (ΦΕΚ Α΄94), την υπ’ αριθμ. 39/3/30.11.2017 Απόφαση του Συμβουλίου Διοίκησης της Α.Α.Δ.Ε.(Υ.Ο.Δ.Δ. 689/20.12.2017) «Ανανέωση θητείας του Διοικητή της Ανεξάρτητης Αρχής Δημοσίων Εσόδων» και την αριθμ. 5294 ΕΞ2020/17.1.2020 (Υ.Ο.Δ.Δ.27)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4. Το άρθρο 90 του Π.Δ. 63/2005 (ΦΕΚ 98/Α΄/22.04.2005) «Κωδικοποίηση της νομοθεσίας για την Κυβέρνηση και τα Κυβερνητικά όργανα».</w:t>
      </w:r>
    </w:p>
    <w:p>
      <w:pPr>
        <w:spacing w:before="240" w:after="240"/>
        <w:rPr>
          <w:lang w:val="el" w:eastAsia="el"/>
        </w:rPr>
      </w:pPr>
      <w:r>
        <w:rPr>
          <w:lang w:val="el" w:eastAsia="el"/>
        </w:rPr>
        <w:t>5. Την αριθ.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 4389/2016 (ΦΕΚ Α΄94), όπως ισχύουν.</w:t>
      </w:r>
    </w:p>
    <w:p>
      <w:pPr>
        <w:spacing w:before="240" w:after="240"/>
        <w:rPr>
          <w:lang w:val="el" w:eastAsia="el"/>
        </w:rPr>
      </w:pPr>
      <w:r>
        <w:rPr>
          <w:lang w:val="el" w:eastAsia="el"/>
        </w:rPr>
        <w:t>6. Την αριθμ. πρωτ. Δ ΟΡΓ.Α 1036960/10.03.2017 (ΦΕΚ Β΄968) απόφασης του Διοικητή της Ανεξάρτητης Αρχής Δημοσίων Εσόδων «Οργανισμός της Ανεξάρτητης Αρχής Δημοσίων Εσόδων (Α.Α.Δ.Ε.)»,όπως συμπληρώθηκε, τροποποιήθηκε και ισχύει.</w:t>
      </w:r>
    </w:p>
    <w:p>
      <w:pPr>
        <w:spacing w:before="240" w:after="240"/>
        <w:rPr>
          <w:lang w:val="el" w:eastAsia="el"/>
        </w:rPr>
      </w:pPr>
      <w:r>
        <w:rPr>
          <w:lang w:val="el" w:eastAsia="el"/>
        </w:rPr>
        <w:t>7. Την ανάγκη παράτασης της προθεσμίας για την αποδοχή ή την απόρριψη των αιτήσεων από τις αρμόδιες τελωνειακές αρχές των δικαιούχων επιστροφής Ε.Φ.Κ. καυσίμων κατ’ εφαρμογή της αριθμ Α. 1072/22-2-2019 Απόφασης Διοικητή Α.Α.Δ.Ε., λόγω των μέτρων που έχουν ληφθεί για τη λειτουργία των υπηρεσιών και τη διαδικασία παροχής εξ αποστάσεως εργασίας των υπαλλήλων ενόψει των μέτρων αντιμετώπισης της διασποράς του κορωνοϊού COVID-19.</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προθεσμία αποδοχής ή απόρριψης των ηλεκτρονικών αιτήσεων που ορίζεται στην παράγραφο 7 του άρθρου 4 της αριθμ. Α.1072/22-2-2019 απόφασης Διοικητή ΑΑΔΕ (ΦΕΚ 750/Β΄), οι οποίες έχουν υποβληθεί από τους δικαιούχους επιστροφής Ε.Φ.Κ. στα αρμόδια Τελωνεία Υποβολής Αίτησης και Επιστροφής Ε.Φ.Κ. κατά το χρονικό διάστημα 01/01/2020 έως 28/02/2020, παρατείνεται μέχρι και 30 Ιουνίου 2020.</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Ενέργεια</w:t>
      </w:r>
    </w:p>
    <w:p>
      <w:pPr>
        <w:spacing w:before="240" w:after="240"/>
        <w:rPr>
          <w:lang w:val="el" w:eastAsia="el"/>
        </w:rPr>
      </w:pPr>
      <w:r>
        <w:rPr>
          <w:u w:val="single"/>
          <w:lang w:val="el" w:eastAsia="el"/>
        </w:rPr>
        <w:t>Εθνικό Τυπογραφείο (για άμεση δημοσίευση)</w:t>
      </w:r>
    </w:p>
    <w:p>
      <w:pPr>
        <w:spacing w:before="240" w:after="240"/>
        <w:rPr>
          <w:lang w:val="el" w:eastAsia="el"/>
        </w:rPr>
      </w:pPr>
      <w:r>
        <w:rPr>
          <w:u w:val="single"/>
          <w:lang w:val="el" w:eastAsia="el"/>
        </w:rPr>
        <w:t>Κοινοποίηση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u w:val="single"/>
          <w:lang w:val="el" w:eastAsia="el"/>
        </w:rPr>
        <w:t>Εσωτερική διανομή</w:t>
      </w:r>
    </w:p>
    <w:p>
      <w:pPr>
        <w:spacing w:before="240" w:after="240"/>
        <w:rPr>
          <w:lang w:val="el" w:eastAsia="el"/>
        </w:rPr>
      </w:pPr>
      <w:r>
        <w:rPr>
          <w:lang w:val="el" w:eastAsia="el"/>
        </w:rPr>
        <w:t>Γραφείο Διοικητή Ανεξάρτητης Αρχής Δημοσίων Εσόδων Αυτοτελές Τμήμα Υποστήριξης της Γεν. Δ/νσης Τελωνείων &amp; Ε.Φ.Κ.</w:t>
      </w:r>
    </w:p>
    <w:p>
      <w:pPr>
        <w:spacing w:before="240" w:after="240"/>
        <w:rPr>
          <w:lang w:val="el" w:eastAsia="el"/>
        </w:rPr>
      </w:pPr>
      <w:r>
        <w:rPr>
          <w:lang w:val="el" w:eastAsia="el"/>
        </w:rPr>
        <w:t>Δ/νση ΕΦΚ &amp; ΦΠΑ</w:t>
      </w:r>
    </w:p>
    <w:p>
      <w:pPr>
        <w:spacing w:before="240" w:after="240"/>
        <w:rPr>
          <w:lang w:val="el" w:eastAsia="el"/>
        </w:rPr>
      </w:pPr>
      <w:r>
        <w:rPr>
          <w:lang w:val="el" w:eastAsia="el"/>
        </w:rPr>
        <w:t>Δ/νση Τελωνειακών Διαδικασιών</w:t>
      </w:r>
    </w:p>
    <w:p>
      <w:pPr>
        <w:spacing w:before="240" w:after="240"/>
        <w:rPr>
          <w:lang w:val="el" w:eastAsia="el"/>
        </w:rPr>
      </w:pPr>
      <w:r>
        <w:rPr>
          <w:lang w:val="el" w:eastAsia="el"/>
        </w:rPr>
        <w:t>Δ/νση Στρατηγικής Τελωνειακών Ελέγχων &amp; Παραβάσεων</w:t>
      </w:r>
    </w:p>
    <w:p>
      <w:pPr>
        <w:spacing w:before="240" w:after="240"/>
        <w:rPr>
          <w:lang w:val="el" w:eastAsia="el"/>
        </w:rPr>
      </w:pPr>
      <w:r>
        <w:rPr>
          <w:lang w:val="el" w:eastAsia="el"/>
        </w:rPr>
        <w:t>Δ/νση Δασμολογικών Θεμάτων, Ειδικών Καθεστώτων &amp;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