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ΔΑΕΦΚ-ΚΕ/160</w:t>
      </w:r>
      <w:r>
        <w:rPr>
          <w:lang w:val="el" w:eastAsia="el"/>
        </w:rPr>
        <w:t>5/Α36</w:t>
      </w:r>
    </w:p>
    <w:p>
      <w:pPr>
        <w:spacing w:before="240" w:after="240"/>
        <w:rPr>
          <w:lang w:val="el" w:eastAsia="el"/>
        </w:rPr>
      </w:pPr>
      <w:r>
        <w:rPr>
          <w:b/>
          <w:bCs/>
          <w:lang w:val="el" w:eastAsia="el"/>
        </w:rPr>
        <w:t>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w:t>
      </w:r>
    </w:p>
    <w:p>
      <w:pPr>
        <w:spacing w:before="240" w:after="240"/>
        <w:rPr>
          <w:lang w:val="el" w:eastAsia="el"/>
        </w:rPr>
      </w:pPr>
      <w:r>
        <w:rPr>
          <w:b/>
          <w:bCs/>
          <w:lang w:val="el" w:eastAsia="el"/>
        </w:rPr>
        <w:t>ΟΙ ΥΠΟΥΡΓΟΙ ΟΙΚΟΝΟΜΙΚΩΝ - ΑΝΑΠΤΥΞΗΣ ΚΑΙ ΕΠΕΝΔΥΣΕΩΝ - ΥΠΟΔΟΜΩΝ ΚΑΙ ΜΕΤΑΦΟΡΩΝ</w:t>
      </w:r>
    </w:p>
    <w:p>
      <w:pPr>
        <w:spacing w:before="240" w:after="240"/>
        <w:rPr>
          <w:lang w:val="el" w:eastAsia="el"/>
        </w:rPr>
      </w:pPr>
      <w:r>
        <w:rPr>
          <w:lang w:val="el" w:eastAsia="el"/>
        </w:rPr>
        <w:t>Σύμφωνα με τις διατάξεις:</w:t>
      </w:r>
    </w:p>
    <w:p>
      <w:pPr>
        <w:spacing w:before="240" w:after="240"/>
        <w:rPr>
          <w:lang w:val="el" w:eastAsia="el"/>
        </w:rPr>
      </w:pPr>
      <w:r>
        <w:rPr>
          <w:lang w:val="el" w:eastAsia="el"/>
        </w:rPr>
        <w:t>1. Της παρ. 3 του άρθρου τέταρτου του ν. 867/1979 (Α’ 24) όπως τροποποιήθηκε, συμπληρώθηκε και ισχύει. 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(Α’ 81) «Περί οργάνων ασκήσεως της νομισματικής, πιστωτικής και συναλλαγματικής πολιτικής και άλλες διατάξεις» όπως συμπληρώθηκε με την παρ. 6 του άρθρου 25, του ν. 1418/1984 (Α’ 23) «Περί Δημοσίων Έργων και ρυθμίσεις συναφών θεμάτων».</w:t>
      </w:r>
    </w:p>
    <w:p>
      <w:pPr>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τροποποιήθηκε, συμπληρώθηκε και ισχύει.</w:t>
      </w:r>
    </w:p>
    <w:p>
      <w:pPr>
        <w:spacing w:before="240" w:after="240"/>
        <w:rPr>
          <w:lang w:val="el" w:eastAsia="el"/>
        </w:rPr>
      </w:pPr>
      <w:r>
        <w:rPr>
          <w:lang w:val="el" w:eastAsia="el"/>
        </w:rPr>
        <w:t>6. Του ν. 4270/2014 «Αρχές δημοσιονομικής διαχείρισης και εποπτείας (ενσωμάτωσης της Οδηγίας 2011/85/ ΕΕ) - δημόσιο λογιστικό και άλλες διατάξεις» (Α’ 143), όπως τροποποιήθηκε, συμπληρώθηκε και ισχύει και ιδίως τις διατάξεις των άρθρων 20, 23, 77,79 και 80.</w:t>
      </w:r>
    </w:p>
    <w:p>
      <w:pPr>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προκαλείται δαπάνη περίπου 159.600,00 € σε βάρος του κρατικού προϋπολογισμού και συγκεκριμένα του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ΜΠΔΣ.</w:t>
      </w:r>
    </w:p>
    <w:p>
      <w:pPr>
        <w:spacing w:before="240" w:after="240"/>
        <w:rPr>
          <w:lang w:val="el" w:eastAsia="el"/>
        </w:rPr>
      </w:pPr>
      <w:r>
        <w:rPr>
          <w:lang w:val="el" w:eastAsia="el"/>
        </w:rPr>
        <w:t>9. Του π.δ. 80/2016 «Ανάληψη υποχρεώσεων από τους Διατάκτες» (Α’ 145), όπως ισχύει.</w:t>
      </w:r>
    </w:p>
    <w:p>
      <w:pPr>
        <w:spacing w:before="240" w:after="240"/>
        <w:rPr>
          <w:lang w:val="el" w:eastAsia="el"/>
        </w:rPr>
      </w:pPr>
      <w:r>
        <w:rPr>
          <w:lang w:val="el" w:eastAsia="el"/>
        </w:rPr>
        <w:t>10. Του π.δ. 123/2017 «Οργανισμός του Υπουργείου Υποδομών και Μεταφορών» (Α’ 151), όπως τροποποιήθηκε με το άρθρο 14 του π.δ. 84/2019 (Α’ 123).</w:t>
      </w:r>
    </w:p>
    <w:p>
      <w:pPr>
        <w:spacing w:before="240" w:after="240"/>
        <w:rPr>
          <w:lang w:val="el" w:eastAsia="el"/>
        </w:rPr>
      </w:pPr>
      <w:r>
        <w:rPr>
          <w:lang w:val="el" w:eastAsia="el"/>
        </w:rPr>
        <w:t>11. Του π.δ. 142/2017 «Οργανισμός Υπουργείου Οικονομικών» (Α’ 181) όπως τροποποιήθηκε με το άρθρο 1 του π.δ. 84/2019 (Α’ 123).</w:t>
      </w:r>
    </w:p>
    <w:p>
      <w:pPr>
        <w:spacing w:before="240" w:after="240"/>
        <w:rPr>
          <w:lang w:val="el" w:eastAsia="el"/>
        </w:rPr>
      </w:pPr>
      <w:r>
        <w:rPr>
          <w:lang w:val="el" w:eastAsia="el"/>
        </w:rPr>
        <w:t>12. Του π.δ. 147/2017 Οργανισμός του Υπουργείου Οικονομίας και Ανάπτυξης» (Α’ 192), όπως τροποποιήθηκε με το άρθρο 2 του π.δ. 84/2019 (Α’ 123).</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 αρ.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Της υπ’ αρ.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Της υπ’ αρ. Υ.Α.Σ. οικ. 987/Α36/07.02.2014 (Β’ 257) (ΑΔΑ:ΒΙΡΜ1-ΓΓ8) κοινής απόφασης του Αναπληρωτή Υπουργού Οικονομικών και των Υπουργών Ανάπτυξης και Ανταγωνιστικότητας και Υποδομών, Μεταφορών και Δικτύων: «Επιδότηση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257).</w:t>
      </w:r>
    </w:p>
    <w:p>
      <w:pPr>
        <w:spacing w:before="240" w:after="240"/>
        <w:rPr>
          <w:lang w:val="el" w:eastAsia="el"/>
        </w:rPr>
      </w:pPr>
      <w:r>
        <w:rPr>
          <w:lang w:val="el" w:eastAsia="el"/>
        </w:rPr>
        <w:t>17. Της υπ’ αρ. Υ.Α.Σ. οικ. 8115/Α36/08.10.2014 (ΑΔΑ:Ψ7Ρ11-53Φ) κοινής απόφασης των Υπουργών Οικονομικών, Ανάπτυξης και Ανταγωνιστικότητας και Υποδομών, Μεταφορών και Δικτύων: «Συμπλήρωση της με αριθμ. Υ.Α.Σ. οικ. 987/Α36/07.02.2014 απόφασης που αφορά στην επιδότηση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2841).</w:t>
      </w:r>
    </w:p>
    <w:p>
      <w:pPr>
        <w:spacing w:before="240" w:after="240"/>
        <w:rPr>
          <w:lang w:val="el" w:eastAsia="el"/>
        </w:rPr>
      </w:pPr>
      <w:r>
        <w:rPr>
          <w:lang w:val="el" w:eastAsia="el"/>
        </w:rPr>
        <w:t>18. Της υπ’ αρ. ΔΑΕΦΚ/οικ. 1212/Α36/09.03.2016 (ΑΔΑ:ΩΘ014653ΟΞ-ΠΟΩ) κοινής απόφασης των Υπουργών Οικονομικών, Ανάπτυξης και Ανταγωνιστικότητας και Υποδομών, Μεταφορών και Δικτύων: «Επιδότηση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729).</w:t>
      </w:r>
    </w:p>
    <w:p>
      <w:pPr>
        <w:spacing w:before="240" w:after="240"/>
        <w:rPr>
          <w:lang w:val="el" w:eastAsia="el"/>
        </w:rPr>
      </w:pPr>
      <w:r>
        <w:rPr>
          <w:lang w:val="el" w:eastAsia="el"/>
        </w:rPr>
        <w:t>19. Της υπ’ αρ. ΔΑΕΦΚ/1732/Α36/11.09.2017 (ΑΔΑ:67ΤΡ465ΧΘΞ-ΚΣ0) κοινής απόφασης των Υπουργών Οικονομίας και Ανάπτυξης, Οικονομικών και και Υποδομών και Μεταφορών: «Επιδότηση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3346).</w:t>
      </w:r>
    </w:p>
    <w:p>
      <w:pPr>
        <w:spacing w:before="240" w:after="240"/>
        <w:rPr>
          <w:lang w:val="el" w:eastAsia="el"/>
        </w:rPr>
      </w:pPr>
      <w:r>
        <w:rPr>
          <w:lang w:val="el" w:eastAsia="el"/>
        </w:rPr>
        <w:t>20. Της υπ’ αρ. ΔΑΕΦΚ-ΚΕ/10087/Α36/05.11.2018 (ΑΔΑ: 6ΤΕΥ465ΧΘΞ-ΠΧΔ) κοινής απόφασης των Υπουργών Οικονομικών, Οικονομίας και Ανάπτυξης και Υποδομών και Μεταφορών: «Παράταση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4982).</w:t>
      </w:r>
    </w:p>
    <w:p>
      <w:pPr>
        <w:spacing w:before="240" w:after="240"/>
        <w:rPr>
          <w:lang w:val="el" w:eastAsia="el"/>
        </w:rPr>
      </w:pPr>
      <w:r>
        <w:rPr>
          <w:lang w:val="el" w:eastAsia="el"/>
        </w:rPr>
        <w:t>21. Της υπ’ αρ. ΔΑΕΦΚ-ΚΕ/2860/Α36/23.05.2019 (ΑΔΑ: 6ΝΓΤ465ΧΘΞ-ΣΑ0) κοινής απόφασης των Υπουργών Οικονομικών, Οικονομίας και Ανάπτυξης και Υποδομών και Μεταφορών: «Παράταση της επιδότησης ενοικίου ή συγκατοίκησης για την κάλυψη δαπανών στέγασης κατοίκων περιοχών των Περιφερειακών Ενοτήτων Κεφαλληνίας και Ιθάκης που επλήγησαν από το σεισμό της 26ης Ιανουαρίου 2014» (Β’ 2087).</w:t>
      </w:r>
    </w:p>
    <w:p>
      <w:pPr>
        <w:spacing w:before="240" w:after="240"/>
        <w:rPr>
          <w:lang w:val="el" w:eastAsia="el"/>
        </w:rPr>
      </w:pPr>
      <w:r>
        <w:rPr>
          <w:lang w:val="el" w:eastAsia="el"/>
        </w:rPr>
        <w:t>22. Της υπ’ αρ. 340/2019 κοινής απόφασης του Πρωθυπουργού και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Και έχοντας υπόψη:</w:t>
      </w:r>
    </w:p>
    <w:p>
      <w:pPr>
        <w:spacing w:before="240" w:after="240"/>
        <w:rPr>
          <w:lang w:val="el" w:eastAsia="el"/>
        </w:rPr>
      </w:pPr>
      <w:r>
        <w:rPr>
          <w:lang w:val="el" w:eastAsia="el"/>
        </w:rPr>
        <w:t>1. Το υπ’ αρ. οικ. 50/21.01.2020 έγγραφο του Τ.Α.Σ. Κεφαλληνίας (αρ. εισερχ. Δ.Α.Ε.Φ.Κ.- Κ.Ε./490/22.01.2020 και Δ.Α.Ε.Φ.Κ.-Κ.Ε./668/28.01.2020).</w:t>
      </w:r>
    </w:p>
    <w:p>
      <w:pPr>
        <w:spacing w:before="240" w:after="240"/>
        <w:rPr>
          <w:lang w:val="el" w:eastAsia="el"/>
        </w:rPr>
      </w:pPr>
      <w:r>
        <w:rPr>
          <w:lang w:val="el" w:eastAsia="el"/>
        </w:rPr>
        <w:t>2. Το υπ’ αρ. 437/24.01.2020 απόσπασμα από το πρακτικό της 2ης τακτικής συνεδρίασης του Δημοτικού Συμβουλίου του Δήμου Ληξουρίου (αριθμ. απόφασης 16/2020) (αριθμ. εισερχ. Δ.Α.Ε.Φ.Κ.-Κ.Ε./864/03.02.2020).</w:t>
      </w:r>
    </w:p>
    <w:p>
      <w:pPr>
        <w:spacing w:before="240" w:after="240"/>
        <w:rPr>
          <w:lang w:val="el" w:eastAsia="el"/>
        </w:rPr>
      </w:pPr>
      <w:r>
        <w:rPr>
          <w:lang w:val="el" w:eastAsia="el"/>
        </w:rPr>
        <w:t>3. Την υπ’ αρ. 121/14.02.2020 (αρ. εισ. ΔΑΕΦΚ- ΚΕ/1605/21.02.2020) εισηγητική έκθεση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Το αριθμ. ΔΝΣα/6591/ΦΝ456ε/03.02.2020 (αρ. εισ. ΔΑΕΦΚ-ΚΕ/913/04.02.2020) έγγραφο της Διεύθυνσης Νομοθετικού Συντονισμού του Υπουργείου Υποδομών και Μεταφορών.</w:t>
      </w:r>
    </w:p>
    <w:p>
      <w:pPr>
        <w:spacing w:before="240" w:after="240"/>
        <w:rPr>
          <w:lang w:val="el" w:eastAsia="el"/>
        </w:rPr>
      </w:pPr>
      <w:r>
        <w:rPr>
          <w:lang w:val="el" w:eastAsia="el"/>
        </w:rPr>
        <w:t>Και επειδή:</w:t>
      </w:r>
    </w:p>
    <w:p>
      <w:pPr>
        <w:spacing w:before="240" w:after="240"/>
        <w:rPr>
          <w:lang w:val="el" w:eastAsia="el"/>
        </w:rPr>
      </w:pPr>
      <w:r>
        <w:rPr>
          <w:lang w:val="el" w:eastAsia="el"/>
        </w:rPr>
        <w:t>1. Ο Δήμος Κεφαλονιάς δεν έχει ολοκληρώσει την κατεδάφιση των επικίνδυνων κτιρίων.</w:t>
      </w:r>
    </w:p>
    <w:p>
      <w:pPr>
        <w:spacing w:before="240" w:after="240"/>
        <w:rPr>
          <w:lang w:val="el" w:eastAsia="el"/>
        </w:rPr>
      </w:pPr>
      <w:r>
        <w:rPr>
          <w:lang w:val="el" w:eastAsia="el"/>
        </w:rPr>
        <w:t>2. Η διαδικασία επισκευής των εργατικών κατοικιών στον οικισμό «Ληξούρι I» που επλήγησαν από το σεισμό της 26ης Ιανουαρίου 2014 που έχει αναλάβει η Δ.Α.Ε.Φ.Κ.-Κ.Ε. (πρώην Υ.Α.Σ.), σύμφωνα με τις παραγράφους 1,2 και 3 του άρθρου 43 του ν. 4305/2014 (Α’ 237) είναι σε εξέλιξη, αποφασίζουμε:</w:t>
      </w:r>
    </w:p>
    <w:p>
      <w:pPr>
        <w:spacing w:before="240" w:after="240"/>
        <w:rPr>
          <w:lang w:val="el" w:eastAsia="el"/>
        </w:rPr>
      </w:pPr>
      <w:r>
        <w:rPr>
          <w:lang w:val="el" w:eastAsia="el"/>
        </w:rPr>
        <w:t>Παρατείνουμε το χρονικό διάστημα της επιδότησης ενοικίου ή συγκατοίκησης που παρατάθηκε με την αριθμ. ΔΑΕΦΚ-ΚΕ/2860/Α36/23.05.2019 (Β’ 2087), κοινή απόφαση των Υπουργών Οικονομικών, Οικονομίας και Ανάπτυξης, Υποδομών και Μεταφορών κατά ένα (1) χρόνο για τους ιδιοκτήτες:</w:t>
      </w:r>
    </w:p>
    <w:p>
      <w:pPr>
        <w:spacing w:before="240" w:after="240"/>
        <w:rPr>
          <w:lang w:val="el" w:eastAsia="el"/>
        </w:rPr>
      </w:pPr>
      <w:r>
        <w:rPr>
          <w:lang w:val="el" w:eastAsia="el"/>
        </w:rPr>
        <w:t>Α. κατοικιών για τις οποίες εκδόθηκαν Πρωτόκολλα Αυτοψίας Επικινδύνως Ετοιμόρροπων Κτιρίων και οι οποίες μέχρι την ημερομηνία δημοσίευσης της παρούσας απόφασης στην Εφημερίδα της Κυβερνήσεως δεν έχουν κατεδαφιστεί από το Δήμο Κεφαλονιάς και</w:t>
      </w:r>
    </w:p>
    <w:p>
      <w:pPr>
        <w:spacing w:before="240" w:after="240"/>
        <w:rPr>
          <w:lang w:val="el" w:eastAsia="el"/>
        </w:rPr>
      </w:pPr>
      <w:r>
        <w:rPr>
          <w:lang w:val="el" w:eastAsia="el"/>
        </w:rPr>
        <w:t>Β. των εργατικών κατοικιών στον οικισμό «Ληξούρι I» για τις οποίες την ευθύνη ανακατασκευής και επισκευής τους έχει αναλάβει η Δ.Α.Ε.Φ.Κ.-Κ.Ε. (πρώην Υ.Α.Σ.).</w:t>
      </w:r>
    </w:p>
    <w:p>
      <w:pPr>
        <w:spacing w:before="240" w:after="240"/>
        <w:rPr>
          <w:lang w:val="el" w:eastAsia="el"/>
        </w:rPr>
      </w:pPr>
      <w:r>
        <w:rPr>
          <w:lang w:val="el" w:eastAsia="el"/>
        </w:rPr>
        <w:t>ΚΑΛΥΨΗ ΔΑΠΑΝΗΣ</w:t>
      </w:r>
    </w:p>
    <w:p>
      <w:pPr>
        <w:spacing w:before="240" w:after="240"/>
        <w:rPr>
          <w:lang w:val="el" w:eastAsia="el"/>
        </w:rPr>
      </w:pPr>
      <w:r>
        <w:rPr>
          <w:lang w:val="el" w:eastAsia="el"/>
        </w:rPr>
        <w:t>Από τις διατάξεις της απόφασης αυτής προκαλείται δαπάνη περίπου €159.600,00 και θα καλυφθεί από το Πρόγραμμα Δημοσίων Επενδύσεων και συγκεκριμένα από το ενάριθμο έργο 2014ΣΕ06900001 της ΣΑΕ 069.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ΘΕΟΔΩΡΟΣ ΣΠΥΡΙΔΩΝΑΣ-ΑΔΩΝΙΣ</w:t>
      </w:r>
    </w:p>
    <w:p>
      <w:pPr>
        <w:spacing w:before="240" w:after="240"/>
        <w:rPr>
          <w:lang w:val="el" w:eastAsia="el"/>
        </w:rPr>
      </w:pPr>
      <w:r>
        <w:rPr>
          <w:b/>
          <w:bCs/>
          <w:lang w:val="el" w:eastAsia="el"/>
        </w:rPr>
        <w:t>ΣΚΥΛΑΚΑΚΗΣ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