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b/>
          <w:bCs/>
          <w:lang w:val="el" w:eastAsia="el"/>
        </w:rPr>
        <w:t>Θέμα: «Διαδικασία καταβολής Φ.Π.Α. για κατασκευαστικές εργασίες σε ξενοδοχειακά καταλύματα »</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τελευταίου εδαφίου της παραγράφου 1 του άρθρου 34 του Κώδικα ΦΠΑ (ν.2859/2000 - Α΄248), με το οποίο παρέχεται δυνατότητα στον Υπουργό Οικονομικών με απόφαση του να ορίζει ότι, προκειμένου για αγαθά επένδυσης ορισμένων κατηγοριών επιχειρήσεων, αντί έκπτωσης ή επιστροφής του φόρου παρέχεται δικαίωμα αναστολής της πληρωμής του ή ρυθμίζεται με άλλο τρόπο,</w:t>
      </w:r>
    </w:p>
    <w:p>
      <w:pPr>
        <w:pStyle w:val="StructureList1"/>
        <w:spacing w:before="120" w:after="0"/>
        <w:rPr>
          <w:lang w:val="el" w:eastAsia="el"/>
        </w:rPr>
      </w:pPr>
      <w:r>
        <w:rPr>
          <w:lang w:val="el" w:eastAsia="el"/>
        </w:rPr>
        <w:t>β)</w:t>
      </w:r>
      <w:r>
        <w:rPr>
          <w:lang w:val="en" w:eastAsia="en"/>
        </w:rPr>
        <w:tab/>
      </w:r>
      <w:r>
        <w:rPr>
          <w:lang w:val="el" w:eastAsia="el"/>
        </w:rPr>
        <w:t>των άρθρων 30, 31, 32, 33, 34 και 35 του Κώδικα Φ.Π.Α. (ν.2859/2000-Α΄248) όπως ισχύουν,</w:t>
      </w:r>
    </w:p>
    <w:p>
      <w:pPr>
        <w:pStyle w:val="StructureList1"/>
        <w:spacing w:before="120" w:after="0"/>
        <w:rPr>
          <w:lang w:val="el" w:eastAsia="el"/>
        </w:rPr>
      </w:pPr>
      <w:r>
        <w:rPr>
          <w:lang w:val="el" w:eastAsia="el"/>
        </w:rPr>
        <w:t>γ)</w:t>
      </w:r>
      <w:r>
        <w:rPr>
          <w:lang w:val="en" w:eastAsia="en"/>
        </w:rPr>
        <w:tab/>
      </w:r>
      <w:r>
        <w:rPr>
          <w:lang w:val="el" w:eastAsia="el"/>
        </w:rPr>
        <w:t>του ν. 4174/2013 (170 Α΄-Κ.Φ.Δ.), όπως ισχύουν.</w:t>
      </w:r>
    </w:p>
    <w:p>
      <w:pPr>
        <w:spacing w:before="240" w:after="240"/>
        <w:rPr>
          <w:lang w:val="el" w:eastAsia="el"/>
        </w:rPr>
      </w:pPr>
      <w:r>
        <w:rPr>
          <w:lang w:val="el" w:eastAsia="el"/>
        </w:rPr>
        <w:t>2. Το π.δ. 83/2019 (A’ 121 )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3.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4. Την απόφαση του Πρωθυπουργού Υ2/9.7.2019 (Β’2901) «Σύσταση θέσεων Αναπληρωτή Υπουργού και Υφυπουργών».</w:t>
      </w:r>
    </w:p>
    <w:p>
      <w:pPr>
        <w:spacing w:before="240" w:after="240"/>
        <w:rPr>
          <w:lang w:val="el" w:eastAsia="el"/>
        </w:rPr>
      </w:pPr>
      <w:r>
        <w:rPr>
          <w:lang w:val="el" w:eastAsia="el"/>
        </w:rPr>
        <w:t>5. Την 339/18-07-2019 (Β ́3051/26-7-2019)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6.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7.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την αριθ. 39/3/30.11.2017 (Υ.Ο.Δ.Δ. 689) απόφαση του Συμβουλίου Διοίκησης της Α.Α.Δ.Ε. «Ανανέωση της θητείας του Διοικητή της Α.Α.Δ.Ε.» και την υπ΄αριθ. 5294/ΕΞ 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8. Την Κ.Υ.Α. Π. 2869/2389/ΠΟΛ. 137/4.5.1987 (ΦΕΚ 236 Β΄/12.5.1987) «Διαδικασία καταβολής του φόρου προστιθέμενης αξίας των επενδυτικών αγορών», η οποία κυρώθηκε με την παρ.4 του άρθρου 11 του ν. 1839/1989 (ΦΕΚ 90 Α΄/7.4.1989).</w:t>
      </w:r>
    </w:p>
    <w:p>
      <w:pPr>
        <w:spacing w:before="240" w:after="240"/>
        <w:rPr>
          <w:lang w:val="el" w:eastAsia="el"/>
        </w:rPr>
      </w:pPr>
      <w:r>
        <w:rPr>
          <w:lang w:val="el" w:eastAsia="el"/>
        </w:rPr>
        <w:t>9. Την ανάγκη καθορισμού διαδικασίας για τη χορήγηση αναστολής καταβολής Φ.Π.Α. στο πλαίσιο επενδύσεων για κατασκευαστικές εργασίες που πραγματοποιούν ξενοδοχειακές επιχειρήσεις, προκειμένου να αντιμετωπιστούν οι έκτακτες ανάγκες που ανέκυψαν λόγω των μέτρων που επιβλήθηκαν για την ανάσχεση της διασποράς του κορωνοϊού (COVID 19).</w:t>
      </w:r>
    </w:p>
    <w:p>
      <w:pPr>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 και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Με την παρούσα απόφαση καθορίζεται η διαδικασία καταβολής του Φόρου Προστιθέμενης Αξίας που αναλογεί στις δαπάνες για κατασκευαστικές εργασίες των ξενοδοχειακών επιχειρήσεων, ως εξής:</w:t>
      </w:r>
    </w:p>
    <w:p>
      <w:pPr>
        <w:spacing w:before="240" w:after="240"/>
        <w:rPr>
          <w:lang w:val="el" w:eastAsia="el"/>
        </w:rPr>
      </w:pPr>
      <w:r>
        <w:rPr>
          <w:lang w:val="el" w:eastAsia="el"/>
        </w:rPr>
        <w:t>1. Η διαδικασία καταβολής του Φόρου Προστιθέμενης Αξίας που προβλέπεται από την Π.2869/2389/ΠΟΛ 137/4.5.1987 (Β΄236) κοινή απόφαση Υπουργών Οικονομικών και Γεωργίας εφαρμόζεται κατ΄ αναλογία και για τις δαπάνες κατασκευής για κτήρια, κτίσματα και κατασκευαστικές εργασίες εν γένει επί κύριων ξενοδοχειακών καταλυμάτων που πραγματοποιούνται από υποκείμενες στον φόρο επιχειρήσεις, εφόσον εξυπηρετούν τις ανάγκες της επιχείρησης, συνδέονται άμεσα ή έμμεσα με την παροχή των υπηρεσιών της και ο φόρος που αναλογεί στις εργασίες αυτές είναι τουλάχιστον τρεις χιλιάδες (3.000) ευρώ.</w:t>
      </w:r>
    </w:p>
    <w:p>
      <w:pPr>
        <w:spacing w:before="240" w:after="240"/>
        <w:rPr>
          <w:lang w:val="el" w:eastAsia="el"/>
        </w:rPr>
      </w:pPr>
      <w:r>
        <w:rPr>
          <w:lang w:val="el" w:eastAsia="el"/>
        </w:rPr>
        <w:t>2. Για την εφαρμογή της διαδικασίας της ΚΥΑ Π.2869/2389/ΠΟΛ 137/4.5.1987 προϋπόθεση είναι η κατασκευή, η ανέγερση ή ο εκσυγχρονισμός της ξενοδοχειακής μονάδας να γίνεται επί ακινήτου που ανήκει είτε κατά κυριότητα στην υποκείμενη στον φόρο επιχείρηση είτε έχει οποιαδήποτε έννομη σχέση επί αυτού για χρονικό διάστημα τουλάχιστον εννέα (9) ετών.</w:t>
      </w:r>
    </w:p>
    <w:p>
      <w:pPr>
        <w:spacing w:before="240" w:after="240"/>
        <w:rPr>
          <w:lang w:val="el" w:eastAsia="el"/>
        </w:rPr>
      </w:pPr>
      <w:r>
        <w:rPr>
          <w:lang w:val="el" w:eastAsia="el"/>
        </w:rPr>
        <w:t>3. Για τις κατασκευαστικές εργασίες της παραγράφου 1, ο υποκείμενος στον φόρο επενδυτής, αντί του πίνακα που προβλέπεται στην περίπτωση α της παραγράφου 2 της ΚΥΑ Π.2869/2389/ΠΟΛ 137/4.5.1987, υποβάλλει στην αρμόδια Δ.Ο.Υ. ως δικαιολογητικό για τη επένδυσή του την σύμβαση ή τις συμβάσεις κατασκευής του έργου, προμήθειας αγαθών ή παροχής υπηρεσιών που έχει συνάψει με τον αντισυμβαλλόμενό του και την σχετική με το έργο άδεια δόμησης.</w:t>
      </w:r>
    </w:p>
    <w:p>
      <w:pPr>
        <w:spacing w:before="240" w:after="240"/>
        <w:rPr>
          <w:lang w:val="el" w:eastAsia="el"/>
        </w:rPr>
      </w:pPr>
      <w:r>
        <w:rPr>
          <w:lang w:val="el" w:eastAsia="el"/>
        </w:rPr>
        <w:t>4. Για κάθε σύμβαση εκδίδεται ξεχωριστή βεβαίωση της παραγράφου 3 της ΚΥΑ Π.2869/2389/ΠΟΛ 137/4.5.1987(Β΄236), για καθαρή αξία κατασκευαστικών εργασιών ισόποση του αντίστοιχου ανταλλάγματος που αναγράφεται στην συγκεκριμένη σύμβαση, θεωρημένο αντίγραφο της οποίας επισυνάπτεται ως αναπόσπαστο τμήμα της χορηγούμενης βεβαίωσης.</w:t>
      </w:r>
    </w:p>
    <w:p>
      <w:pPr>
        <w:spacing w:before="240" w:after="240"/>
        <w:rPr>
          <w:lang w:val="el" w:eastAsia="el"/>
        </w:rPr>
      </w:pPr>
      <w:r>
        <w:rPr>
          <w:lang w:val="el" w:eastAsia="el"/>
        </w:rPr>
        <w:t>5. Στην περίπτωση που πραγματοποιηθούν συμπληρωματικές εργασίες που εμπίπτουν στην παράγραφο 1, ακολουθείται η ίδια διαδικασία με βάση τη συμπληρωματική σύμβαση που συνάπτεται μεταξύ του επενδυτή και του αντισυμβαλλόμενού του.</w:t>
      </w:r>
    </w:p>
    <w:p>
      <w:pPr>
        <w:spacing w:before="240" w:after="240"/>
        <w:rPr>
          <w:lang w:val="el" w:eastAsia="el"/>
        </w:rPr>
      </w:pPr>
      <w:r>
        <w:rPr>
          <w:lang w:val="el" w:eastAsia="el"/>
        </w:rPr>
        <w:t>6. Τα οριζόμενα στις παραγράφους 4, 5, 6, 7 και 8 της ΚΥΑ Π.2869/2389/ΠΟΛ 137/4.5.1987 ισχύουν ανάλογα και για τις επενδύσεις που πραγματοποιούνται με την διαδικασία της παρούσας απόφασης.</w:t>
      </w:r>
    </w:p>
    <w:p>
      <w:pPr>
        <w:spacing w:before="240" w:after="240"/>
        <w:rPr>
          <w:lang w:val="el" w:eastAsia="el"/>
        </w:rPr>
      </w:pPr>
      <w:r>
        <w:rPr>
          <w:lang w:val="el" w:eastAsia="el"/>
        </w:rPr>
        <w:t>7. Η παρούσα απόφαση ισχύει από 01.07.2020</w:t>
      </w:r>
    </w:p>
    <w:p>
      <w:pPr>
        <w:spacing w:before="240" w:after="240"/>
        <w:rPr>
          <w:lang w:val="el" w:eastAsia="el"/>
        </w:rPr>
      </w:pPr>
      <w:r>
        <w:rPr>
          <w:lang w:val="el" w:eastAsia="el"/>
        </w:rPr>
        <w:t>8. Η παρούσα απόφαση να δημοσιευθεί στην Εφημερίδα της Κυβέρνησης.</w:t>
      </w:r>
    </w:p>
    <w:p>
      <w:pPr>
        <w:spacing w:before="240" w:after="240"/>
        <w:rPr>
          <w:lang w:val="el" w:eastAsia="el"/>
        </w:rPr>
      </w:pPr>
      <w:r>
        <w:rPr>
          <w:b/>
          <w:bCs/>
          <w:lang w:val="el" w:eastAsia="el"/>
        </w:rPr>
        <w:t>Ο Υφυπουργός Οικονομικών</w:t>
      </w:r>
    </w:p>
    <w:p>
      <w:pPr>
        <w:spacing w:before="240" w:after="240"/>
        <w:rPr>
          <w:lang w:val="el" w:eastAsia="el"/>
        </w:rPr>
      </w:pPr>
      <w:r>
        <w:rPr>
          <w:b/>
          <w:bCs/>
          <w:lang w:val="el" w:eastAsia="el"/>
        </w:rPr>
        <w:t>Α. Βεσυρόπουλος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i/>
          <w:i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w:t>
      </w:r>
    </w:p>
    <w:p>
      <w:pPr>
        <w:spacing w:before="240" w:after="240"/>
        <w:rPr>
          <w:lang w:val="el" w:eastAsia="el"/>
        </w:rPr>
      </w:pPr>
      <w:r>
        <w:rPr>
          <w:lang w:val="el" w:eastAsia="el"/>
        </w:rPr>
        <w:t>3. Εθνικό Τυπογραφείο για δημοσίευση σε ΦΕΚ</w:t>
      </w:r>
    </w:p>
    <w:p>
      <w:pPr>
        <w:spacing w:before="240" w:after="240"/>
        <w:rPr>
          <w:lang w:val="el" w:eastAsia="el"/>
        </w:rPr>
      </w:pPr>
      <w:r>
        <w:rPr>
          <w:b/>
          <w:bCs/>
          <w:i/>
          <w:i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p>
      <w:pPr>
        <w:spacing w:before="240" w:after="240"/>
        <w:rPr>
          <w:lang w:val="el" w:eastAsia="el"/>
        </w:rPr>
      </w:pPr>
      <w:r>
        <w:rPr>
          <w:lang w:val="el" w:eastAsia="el"/>
        </w:rPr>
        <w:t>5. Αποδέκτες Πίνακα Ζ΄.</w:t>
      </w:r>
    </w:p>
    <w:p>
      <w:pPr>
        <w:spacing w:before="240" w:after="240"/>
        <w:rPr>
          <w:lang w:val="el" w:eastAsia="el"/>
        </w:rPr>
      </w:pPr>
      <w:r>
        <w:rPr>
          <w:lang w:val="el" w:eastAsia="el"/>
        </w:rPr>
        <w:t>6. Αποδέκτες Πίνακα Η΄.</w:t>
      </w:r>
    </w:p>
    <w:p>
      <w:pPr>
        <w:spacing w:before="240" w:after="240"/>
        <w:rPr>
          <w:lang w:val="el" w:eastAsia="el"/>
        </w:rPr>
      </w:pPr>
      <w:r>
        <w:rPr>
          <w:lang w:val="el" w:eastAsia="el"/>
        </w:rPr>
        <w:t>7. Αποδέκτες Πίνακα Θ΄ μόνο οι αριθ. 10, 17 και 18.</w:t>
      </w:r>
    </w:p>
    <w:p>
      <w:pPr>
        <w:spacing w:before="240" w:after="240"/>
        <w:rPr>
          <w:lang w:val="el" w:eastAsia="el"/>
        </w:rPr>
      </w:pPr>
      <w:r>
        <w:rPr>
          <w:lang w:val="el" w:eastAsia="el"/>
        </w:rPr>
        <w:t>8. Αποδέκτες Πίνακα ΙΒ΄</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IH΄</w:t>
      </w:r>
    </w:p>
    <w:p>
      <w:pPr>
        <w:spacing w:before="240" w:after="240"/>
        <w:rPr>
          <w:lang w:val="el" w:eastAsia="el"/>
        </w:rPr>
      </w:pPr>
      <w:r>
        <w:rPr>
          <w:lang w:val="el" w:eastAsia="el"/>
        </w:rPr>
        <w:t>11. Γραφείο Υπουργού Οικονομικών κ. Χ. Σταικούρα</w:t>
      </w:r>
    </w:p>
    <w:p>
      <w:pPr>
        <w:spacing w:before="240" w:after="240"/>
        <w:rPr>
          <w:lang w:val="el" w:eastAsia="el"/>
        </w:rPr>
      </w:pPr>
      <w:r>
        <w:rPr>
          <w:lang w:val="el" w:eastAsia="el"/>
        </w:rPr>
        <w:t>12. Γραφείο Υφυπουργού Οικονομικών κ. Α. Βεσυρόπουλου</w:t>
      </w:r>
    </w:p>
    <w:p>
      <w:pPr>
        <w:spacing w:before="240" w:after="240"/>
        <w:rPr>
          <w:lang w:val="el" w:eastAsia="el"/>
        </w:rPr>
      </w:pPr>
      <w:r>
        <w:rPr>
          <w:lang w:val="el" w:eastAsia="el"/>
        </w:rPr>
        <w:t>13. Γραφείο Γενικής Γραμματέως Φορολογικής Πολιτικής και Δημόσιας Περιουσίας</w:t>
      </w:r>
    </w:p>
    <w:p>
      <w:pPr>
        <w:spacing w:before="240" w:after="240"/>
        <w:rPr>
          <w:lang w:val="el" w:eastAsia="el"/>
        </w:rPr>
      </w:pPr>
      <w:r>
        <w:rPr>
          <w:lang w:val="el" w:eastAsia="el"/>
        </w:rPr>
        <w:t>14. Διεύθυνση Φορολογικής Πολιτικής</w:t>
      </w:r>
    </w:p>
    <w:p>
      <w:pPr>
        <w:spacing w:before="240" w:after="240"/>
        <w:rPr>
          <w:lang w:val="el" w:eastAsia="el"/>
        </w:rPr>
      </w:pPr>
      <w:r>
        <w:rPr>
          <w:b/>
          <w:bCs/>
          <w:i/>
          <w:i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