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spacing w:before="240" w:after="240"/>
        <w:rPr>
          <w:lang w:val="el" w:eastAsia="el"/>
        </w:rPr>
      </w:pPr>
      <w:r>
        <w:rPr>
          <w:b/>
          <w:bCs/>
          <w:lang w:val="el" w:eastAsia="el"/>
        </w:rPr>
        <w:t>Αριθ. ΦΕΚ: Β΄2219/10.6.2020</w:t>
      </w:r>
    </w:p>
    <w:p>
      <w:pPr>
        <w:spacing w:before="240" w:after="240"/>
        <w:rPr>
          <w:lang w:val="el" w:eastAsia="el"/>
        </w:rPr>
      </w:pPr>
      <w:r>
        <w:rPr>
          <w:b/>
          <w:bCs/>
          <w:lang w:val="el" w:eastAsia="el"/>
        </w:rPr>
        <w:t>Αθήνα 09 Ιουνίου 2020</w:t>
      </w:r>
    </w:p>
    <w:p>
      <w:pPr>
        <w:spacing w:before="240" w:after="240"/>
        <w:rPr>
          <w:lang w:val="el" w:eastAsia="el"/>
        </w:rPr>
      </w:pPr>
      <w:r>
        <w:rPr>
          <w:b/>
          <w:bCs/>
          <w:lang w:val="el" w:eastAsia="el"/>
        </w:rPr>
        <w:t>Α.1135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Προσδιορισμός πληττόμενων επιχειρήσεων για την απαλλαγή από την υποχρέωση καταβολής του 40% του συνολικού μισθώματος για τον μήνα Ιούνιο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5 του δεύτερου άρθρου της από 20.3.2020 Πράξης Νομοθετικού Περιεχομένου (Α΄ 68), όπως αυτή προστέθηκε με την παρ. 1 του άρθρου ν. 4690/2020 (Α΄ 104) όπως κυρώθηκε με το άρθρο 1 του ν. 4683/2020 (Α΄ 83).</w:t>
      </w:r>
    </w:p>
    <w:p>
      <w:pPr>
        <w:spacing w:before="240" w:after="240"/>
        <w:rPr>
          <w:lang w:val="el" w:eastAsia="el"/>
        </w:rPr>
      </w:pPr>
      <w:r>
        <w:rPr>
          <w:lang w:val="el" w:eastAsia="el"/>
        </w:rPr>
        <w:t>2.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(Α΄94), ιδίως το άρθρο 41.</w:t>
      </w:r>
    </w:p>
    <w:p>
      <w:pPr>
        <w:spacing w:before="240" w:after="240"/>
        <w:rPr>
          <w:lang w:val="el" w:eastAsia="el"/>
        </w:rPr>
      </w:pPr>
      <w:r>
        <w:rPr>
          <w:lang w:val="el" w:eastAsia="el"/>
        </w:rPr>
        <w:t>3. Τις διατάξεις του ν. 4174/2013 «Φορολογικές διαδικασίες και άλλες διατάξεις» (Α΄170) , όπως ισχύουν.</w:t>
      </w:r>
    </w:p>
    <w:p>
      <w:pPr>
        <w:spacing w:before="240" w:after="240"/>
        <w:rPr>
          <w:lang w:val="el" w:eastAsia="el"/>
        </w:rPr>
      </w:pPr>
      <w:r>
        <w:rPr>
          <w:lang w:val="el" w:eastAsia="el"/>
        </w:rPr>
        <w:t>4. Τις διατάξεις του ν.δ. 356/1974 «Περί Κώδικος Εισπράξεως Δημοσίων Εσόδων» (Α΄90), όπως ισχύουν ιδίως το άρθρο 83,.</w:t>
      </w:r>
    </w:p>
    <w:p>
      <w:pPr>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7. Το π.δ. 142/2017 (Α΄181) «Οργανισμός Υπουργείου Οικονομικών» σε συνδυασμό με το άρθρο 1 του π.δ. 84/2019 (Α΄ 123).</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9. Την αριθ.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αριθμ. 339/18.7.2019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11. Την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w:t>
      </w:r>
      <w:r>
        <w:rPr>
          <w:rStyle w:val="link"/>
          <w:lang w:val="el" w:eastAsia="el"/>
        </w:rPr>
        <w:t xml:space="preserve"> παρ. 10 </w:t>
      </w:r>
      <w:r>
        <w:rPr>
          <w:lang w:val="el" w:eastAsia="el"/>
        </w:rPr>
        <w:t>του</w:t>
      </w:r>
      <w:r>
        <w:rPr>
          <w:rStyle w:val="link"/>
          <w:lang w:val="el" w:eastAsia="el"/>
        </w:rPr>
        <w:t xml:space="preserve"> άρθρου 41 </w:t>
      </w:r>
      <w:r>
        <w:rPr>
          <w:lang w:val="el" w:eastAsia="el"/>
        </w:rPr>
        <w:t>του ν.</w:t>
      </w:r>
      <w:r>
        <w:rPr>
          <w:rStyle w:val="link"/>
          <w:lang w:val="el" w:eastAsia="el"/>
        </w:rPr>
        <w:t xml:space="preserve"> 4389/2016,</w:t>
      </w:r>
      <w:r>
        <w:rPr>
          <w:lang w:val="el" w:eastAsia="el"/>
        </w:rPr>
        <w:t xml:space="preserve"> όπως ισχύουν, την αριθμ. 39/3/30.11.2017 απόφαση του Συμβουλίου Διοίκησης της Α.Α.Δ.Ε. «Ανανέωσης θητείας του Διοικητή της Ανεξάρτητης Αρχής Δημοσίων Εσόδων» (Υ.Ο.Δ.Δ. 689), καθώς και την αριθμ.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12. Την υπ’ αριθ. Δ.ΟΡΓ. Α 1036960 ΕΞ 2017 απόφαση του Διοικητή της Ανεξάρτητης Αρχής Δημοσίων Εσόδων «Οργανισμός της Ανεξάρτητης Αρχής Δημοσίων Εσόδων (Α.Α.Δ.Ε.)» (Β΄968) , όπως ισχύει.</w:t>
      </w:r>
    </w:p>
    <w:p>
      <w:pPr>
        <w:spacing w:before="240" w:after="240"/>
        <w:rPr>
          <w:lang w:val="el" w:eastAsia="el"/>
        </w:rPr>
      </w:pPr>
      <w:r>
        <w:rPr>
          <w:lang w:val="el" w:eastAsia="el"/>
        </w:rPr>
        <w:t>13. Την από 9.6.2020 εισήγηση του Διοικητή της Ανεξάρτητης Αρχής Δημοσίων Εσόδων.</w:t>
      </w:r>
    </w:p>
    <w:p>
      <w:pPr>
        <w:spacing w:before="240" w:after="240"/>
        <w:rPr>
          <w:lang w:val="el" w:eastAsia="el"/>
        </w:rPr>
      </w:pPr>
      <w:r>
        <w:rPr>
          <w:lang w:val="el" w:eastAsia="el"/>
        </w:rPr>
        <w:t>14. Την ανάγκη καθορισμού των πληττόμενων επιχειρήσεων για την εφαρμογή της παρ. 5 του άρθρου δεύτερου της από 20.3.2020 Π.Ν.Π (Α΄ 68), όπως κυρώθηκε με το άρθρο 1 του ν. 4683/2020 (Α΄ 83.</w:t>
      </w:r>
    </w:p>
    <w:p>
      <w:pPr>
        <w:spacing w:before="240" w:after="240"/>
        <w:rPr>
          <w:lang w:val="el" w:eastAsia="el"/>
        </w:rPr>
      </w:pPr>
      <w:r>
        <w:rPr>
          <w:lang w:val="el" w:eastAsia="el"/>
        </w:rPr>
        <w:t>15. Το γεγονός ότι από την παρούσα δεν προκαλείται δαπάνη σε βάρος τους Κρατικού Προϋπολογισμού οικονομικού έτους 2020.</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Ο μισθωτής επαγγελματικής μίσθωσης προς εγκατάσταση επιχείρησης, η οποία εξακολουθεί να πλήττεται οικονομικά λόγω της εμφάνισης και διάδοσης του κορωνοϊού COVID-19 κατά το μήνα Ιούνιο, ήτοι επιχείρησης η οποία έχει ενεργό, κύριο Κωδικό Αριθμό Δραστηριότητας (ΚΑΔ) στις 20 Μαρτίου 2020 έναν από τους αναφερόμενους στο Παράρτημα, το οποίο και αποτελεί αναπόσπαστο μέρος της παρούσας, ή της οποίας τα ακαθάριστα έσοδα ενεργού κατά την 20 Μαρτίου 2020 ΚΑΔ δευτερεύουσας δραστηριότητας από τους αναγραφόμενους στο Παράρτημα, όπως αυτά προκύπτουν από την αρχική δήλωση φόρου εισοδήματος φορολογικού έτους 2018 είναι μεγαλύτερα από τα ακαθάριστα έσοδα που αντιστοιχούν στο κύριο ΚΑΔ στις 20 Μαρτίου 2020, απαλλάσσεται από την υποχρέωση καταβολής του 40% του συνολικού μισθώματος για τον μήνα Ιούνιο 2020, κατά παρέκκλιση των κείμενων διατάξεων περί μισθώσεων, σύμφωνα με τα οριζόμενα στο δεύτερο και τρίτο εδάφιο της παρ. 1 του δεύτερου άρθρου της από 20.3.2020 Π.Ν.Π (Α΄ 68), όπως κυρώθηκε με άρθρο 1 του ν. 4683/2020 ( Α΄83 ).</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Πίνακας Κωδικών Αριθμών Δραστηριότητας (ΚΑΔ) των κλάδων που εξακολουθούν να πλήττονται. 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γεωργικών σπόρων σε μικροσυσκευασίες (47.76.77.04), Λιανικό εμπόριο δενδρυλλίων και φυτών (εκτός καλλωπιστικών φυτών) (47.76.77.05),</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ελαιούχων σπόρων π.δ.κ.α. (47.76.77.06),</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ζώντων φυτών, κονδύλων, βολβών και ριζών, μοσχευμάτων και παραφυάδων, μυκηλιών μανιταριών (47.76.77.07), Λιανικό εμπόριο καλαμποκιού για σπορά (47.76.77.08),</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κεραμικών ειδών που χρησιμοποιούνται στη γεωργία και για τη μεταφορά ή τη συσκευασία αγαθών (47.76.77.09),</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σπόρων ανθέων και καρπών (47.76.77.13),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σπόρων ζαχαρότευτλων και σπόρων κτηνοτροφικών φυτών (47.76.77.14),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σπόρων ηλίανθου, σουσαμιού, κάρδαμου, κράμβης, ελαιοκράμβης και σιναπιού, για σπορά (47.76.77.15),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σπόρων λαχανικών (47.76.77.16),</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σπόρων πατάτας (47.76.77.17),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φυσικών χριστουγεννιάτικων δέντρων (47.76.77.19),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φυτικών υλών π.δ.κ.α. για σπαρτοπλεκτική, παραγέμισμα, βάτες, βαφή ή δέψη, φυτικών προϊόντων π.δ.κ.α. (47.76.77.20),</w:t>
            </w:r>
          </w:p>
          <w:p>
            <w:pPr>
              <w:spacing w:before="240"/>
              <w:rPr>
                <w:b w:val="0"/>
                <w:bCs w:val="0"/>
                <w:i w:val="0"/>
                <w:iCs w:val="0"/>
                <w:smallCaps w:val="0"/>
                <w:color w:val="000000"/>
                <w:lang w:val="el" w:eastAsia="el"/>
              </w:rPr>
            </w:pPr>
            <w:r>
              <w:rPr>
                <w:b w:val="0"/>
                <w:bCs w:val="0"/>
                <w:i w:val="0"/>
                <w:iCs w:val="0"/>
                <w:smallCaps w:val="0"/>
                <w:color w:val="000000"/>
                <w:lang w:val="el" w:eastAsia="el"/>
              </w:rPr>
              <w:t>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καύσιμου πετρελαίου οικιακής χρήσης, υγραέριου, άνθρακα και ξυλείας (47.78.85),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ακατέργαστων αγροτικών προϊόντων π.δ.κ.α. (47.78.87),</w:t>
            </w:r>
          </w:p>
          <w:p>
            <w:pPr>
              <w:spacing w:before="240"/>
              <w:rPr>
                <w:b w:val="0"/>
                <w:bCs w:val="0"/>
                <w:i w:val="0"/>
                <w:iCs w:val="0"/>
                <w:smallCaps w:val="0"/>
                <w:color w:val="000000"/>
                <w:lang w:val="el" w:eastAsia="el"/>
              </w:rPr>
            </w:pPr>
            <w:r>
              <w:rPr>
                <w:b w:val="0"/>
                <w:bCs w:val="0"/>
                <w:i w:val="0"/>
                <w:iCs w:val="0"/>
                <w:smallCaps w:val="0"/>
                <w:color w:val="000000"/>
                <w:lang w:val="el" w:eastAsia="el"/>
              </w:rPr>
              <w:t>Λιανικό εμπόριο μηχανημάτων και εξοπλισμού π.δ.κ.α. (47.78.88),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 με εξαίρεση τις Υπηρεσίες κοινωνικής μέριμνας χωρίς παροχή καταλύματος για ηλικιωμένους και άτομα με αναπηρία (ΚΑΔ 88.10.10), καθώς και τις Υπηρεσίες επίσκεψης και παροχής υποστήριξης σε ηλικιωμένους (ΚΑΔ 88.10.11)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εκτός από υπηρεσίες πίστας καρτ (93.11.10.04)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 πλην αθλητών και ομάδων που είναι σε προετοιμασία ολυμπιακών αγώνων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εξαιρουμένων των υπηρεσιών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εξαιρουμένων των υπηρεσιών διαιτολογίας (96.04.10.01), των υπηρεσιών διαιτολογικών μονάδων (πολυδύναμων μονάδων συνδυασμού αισθητικής και δίαιτας (με εξαίρεση την σωματική άσκηση) (96.04.10.02), υπηρεσιών προσωπικής υγιεινής και φροντίδας σώματος (αποτρίχωσης, θεραπείας με υπεριώδεις και υπέρυθρες ακτίνες, (96.04.10.06)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 ΑΑΔΕ</w:t>
      </w:r>
    </w:p>
    <w:p>
      <w:pPr>
        <w:spacing w:before="240" w:after="240"/>
        <w:rPr>
          <w:lang w:val="el" w:eastAsia="el"/>
        </w:rPr>
      </w:pPr>
      <w:r>
        <w:rPr>
          <w:lang w:val="el" w:eastAsia="el"/>
        </w:rPr>
        <w:t>3. Δ/νση Εισπράξεων ΑΑΔΕ -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