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22043 /Δ1.7451</w:t>
      </w:r>
    </w:p>
    <w:p>
      <w:pPr>
        <w:pStyle w:val="PreambelText"/>
        <w:spacing w:before="240" w:after="240"/>
        <w:rPr>
          <w:lang w:val="el" w:eastAsia="el"/>
        </w:rPr>
      </w:pPr>
      <w:r>
        <w:rPr>
          <w:b/>
          <w:bCs/>
          <w:lang w:val="el" w:eastAsia="el"/>
        </w:rPr>
        <w:t>Τροποποίηση της υπ’αρ. 40331/Δ1.13521/ 13-9-2019 (Β’3520)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απόφασης του Υπουργού Εργασίας και Κοινωνικών Υποθέσεων, όπως τροποποιήθηκε και ισχύει.</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5 του άρθρου δεκάτου ενάτου της από 30-3-2020 πράξης Νομοθετικού Περιεχομένου (Α’ 75) «Μέτρα αντιμετώπισης της πανδημίας του κορωνοϊού COVID-19 και άλλες κατεπείγουσες διατάξεις», όπως κυρώθηκε με το άρθρο 1 του ν. 4684/2020 (Α’86).</w:t>
      </w:r>
    </w:p>
    <w:p>
      <w:pPr>
        <w:pStyle w:val="PreambelText"/>
        <w:spacing w:before="240" w:after="240"/>
        <w:rPr>
          <w:lang w:val="el" w:eastAsia="el"/>
        </w:rPr>
      </w:pPr>
      <w:r>
        <w:rPr>
          <w:lang w:val="el" w:eastAsia="el"/>
        </w:rPr>
        <w:t>2. Το άρθρο δωδέκατο της από 1-5-2020 πράξης Νομοθετικού Περιεχομένου (Α’ 90)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η οποία κυρώθηκε με το άρθρο 2 του ν. 4690/2020 (Α’104).</w:t>
      </w:r>
    </w:p>
    <w:p>
      <w:pPr>
        <w:pStyle w:val="PreambelText"/>
        <w:spacing w:before="240" w:after="240"/>
        <w:rPr>
          <w:lang w:val="el" w:eastAsia="el"/>
        </w:rPr>
      </w:pPr>
      <w:r>
        <w:rPr>
          <w:lang w:val="el" w:eastAsia="el"/>
        </w:rPr>
        <w:t>3. Το άρθρο ένατο παρ. 1, 2, 3, και το άρθρο δέκατο παρ. 1, 2, 4, το άρθρο ενδέκατο υποπαρ. 2Α, 2Γ και το δεύτερο εδάφιο της υποπαρ. 2Ε, καθώς και το άρθρο δεύτερο της από 20-3-2020 Πράξης Νομοθετικού Περιεχομένου (Α’ 68)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η οποία κυρώθηκε με το άρθρο 1 του ν. 4683/2020 (Α’83). 4. Το άρθρο 4 παρ. 1 περ. β’, παρ. 2, παρ. 3 περ. α και περ. στ’ της από 11-3-2020 Πράξης Νομοθετικού Περιεχομένου (Α’55) «Κατεπείγοντα μέτρα αντιμετώπισης των αρνητικών συνεπειών της εμφάνισης του κορωνοϊού COVID-19 και της ανάγκης περιορισμού της διάδοσής του», όπως ισχύει, η οποία κυρώθηκε με το άρθρο 2 του ν. 4682/2020 (Α’76).</w:t>
      </w:r>
    </w:p>
    <w:p>
      <w:pPr>
        <w:pStyle w:val="PreambelText"/>
        <w:spacing w:before="240" w:after="240"/>
        <w:rPr>
          <w:lang w:val="el" w:eastAsia="el"/>
        </w:rPr>
      </w:pPr>
      <w:r>
        <w:rPr>
          <w:lang w:val="el" w:eastAsia="el"/>
        </w:rPr>
        <w:t>5. Το άρθρο δέκατο τρίτο παρ. 1, 2, 4 της από 14-3-2020 Πράξης Νομοθετικού Περιεχομένου (Α’ 64) «Κατεπείγοντα μέτρα αντιμετώπισης της ανάγκης περιορισμού της διασποράς του κορωνοϊού COVID-19», η οποία κυρώθηκε με το άρθρο 3 του ν. 4682/2020 (Α’76).</w:t>
      </w:r>
    </w:p>
    <w:p>
      <w:pPr>
        <w:pStyle w:val="PreambelText"/>
        <w:spacing w:before="240" w:after="240"/>
        <w:rPr>
          <w:lang w:val="el" w:eastAsia="el"/>
        </w:rPr>
      </w:pPr>
      <w:r>
        <w:rPr>
          <w:lang w:val="el" w:eastAsia="el"/>
        </w:rPr>
        <w:t>6. Το άρθρο 17 παρ. 6 του ν. 3899/2010 «Επείγοντα μέτρα εφαρμογής του προγράμματος στήριξης της ελληνικής οικονομίας» (Α’212).</w:t>
      </w:r>
    </w:p>
    <w:p>
      <w:pPr>
        <w:pStyle w:val="PreambelText"/>
        <w:spacing w:before="240" w:after="240"/>
        <w:rPr>
          <w:lang w:val="el" w:eastAsia="el"/>
        </w:rPr>
      </w:pPr>
      <w:r>
        <w:rPr>
          <w:lang w:val="el" w:eastAsia="el"/>
        </w:rPr>
        <w:t>7. Την υπ’ αρ. 21036/1737/2-6-2020 (Β’2141) κοινή απόφαση του Υφυπουργού Οικονομικών και του Υπουργού Εργασίας και Κοινωνικών Υποθέσεων «Καθορισμός επιδόματος εορτών Πάσχα 2020 και χρόνος καταβολής αυτού. Προσδιορισμός του επιδόματος εορτών Πάσχα που καλύπτεται από τον κρατικό προϋπολογισμό και διαδικασία πληρωμής του».</w:t>
      </w:r>
    </w:p>
    <w:p>
      <w:pPr>
        <w:pStyle w:val="PreambelText"/>
        <w:spacing w:before="240" w:after="240"/>
        <w:rPr>
          <w:lang w:val="el" w:eastAsia="el"/>
        </w:rPr>
      </w:pPr>
      <w:r>
        <w:rPr>
          <w:lang w:val="el" w:eastAsia="el"/>
        </w:rPr>
        <w:t>8. Την υπ’ αρ. 14556/448/7-4-2020 κοινή υπουργική απόφαση (Β’1208) «Παράταση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του χρόνου εργασίας και της άδειας ειδικού σκοπού του άρθρου 4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ισχύει.</w:t>
      </w:r>
    </w:p>
    <w:p>
      <w:pPr>
        <w:pStyle w:val="PreambelText"/>
        <w:spacing w:before="240" w:after="240"/>
        <w:rPr>
          <w:lang w:val="el" w:eastAsia="el"/>
        </w:rPr>
      </w:pPr>
      <w:r>
        <w:rPr>
          <w:lang w:val="el" w:eastAsia="el"/>
        </w:rPr>
        <w:t>9. Την υπ’ αρ. Α. 1053/2020 απόφαση (Β’ 949) Υφυπουργού Οικονομικών «Καθορισμός των λεπτομερειών εφαρμογής του άρθρου 2 της από 11-3-2020 Π.Ν.Π. (Α’ 55)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όπως ισχύει.</w:t>
      </w:r>
    </w:p>
    <w:p>
      <w:pPr>
        <w:pStyle w:val="PreambelText"/>
        <w:spacing w:before="240" w:after="240"/>
        <w:rPr>
          <w:lang w:val="el" w:eastAsia="el"/>
        </w:rPr>
      </w:pPr>
      <w:r>
        <w:rPr>
          <w:lang w:val="el" w:eastAsia="el"/>
        </w:rPr>
        <w:t>10. Την υπ’ αρ. Α. 1054/2020 απόφαση Υφυπουργού Οικονομικών (Β’ 950) «Καθορισμός των λεπτομερειών εφαρμογής του άρθρου 1 της από 11-3-2020 Π.Ν.Π. (Α’ 55)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w:t>
      </w:r>
    </w:p>
    <w:p>
      <w:pPr>
        <w:pStyle w:val="PreambelText"/>
        <w:spacing w:before="240" w:after="240"/>
        <w:rPr>
          <w:lang w:val="el" w:eastAsia="el"/>
        </w:rPr>
      </w:pPr>
      <w:r>
        <w:rPr>
          <w:lang w:val="el" w:eastAsia="el"/>
        </w:rPr>
        <w:t>11. Την υπ’αρ. Δ1α/ΓΠ.οικ. 19024 (Β’915/17-3-2020)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pStyle w:val="PreambelText"/>
        <w:spacing w:before="240" w:after="240"/>
        <w:rPr>
          <w:lang w:val="el" w:eastAsia="el"/>
        </w:rPr>
      </w:pPr>
      <w:r>
        <w:rPr>
          <w:lang w:val="el" w:eastAsia="el"/>
        </w:rPr>
        <w:t>12. Την υπ’αρ. 12998/232/23-3-2020 κοινή απόφαση των Υπουργών Οικονομικών και Εργασίας και Κοινωνικών Υποθέσεων (Β’1078) «Μέτρα στήριξης επιχειρήσεων - εργοδοτών του ιδιωτικού τομέα, που έχουν αριθμό μητρώου εργοδότη (ΑΜΕ) στον e-ΕΦΚΑ, των οποίων ή έχει ανασταλεί η επιχειρηματική τους δραστηριότητα, βάσει ΚΑΔ, με εντολή δημόσιας αρχής ή πλήττονται σημαντικά βάσει ΚΑΔ κύριας δραστηριότητας ή δευτερεύουσας βάσει των ακαθάριστων εσόδων έτους 2018, όπως ορίζονται από το Υπουργείο Οικονομικών, για την αντιμετώπιση των επιπτώσεων του κορωνοϊού COVID-19».</w:t>
      </w:r>
    </w:p>
    <w:p>
      <w:pPr>
        <w:pStyle w:val="PreambelText"/>
        <w:spacing w:before="240" w:after="240"/>
        <w:rPr>
          <w:lang w:val="el" w:eastAsia="el"/>
        </w:rPr>
      </w:pPr>
      <w:r>
        <w:rPr>
          <w:lang w:val="el" w:eastAsia="el"/>
        </w:rPr>
        <w:t>13. Το άρθρο 10 του ν. 4554/2018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14. Το άρθρο 54 του ν. 4611/2019 «Ρύθμιση οφειλών προς τους Φορείς Κοινωνικής Ασφάλισης, τη Φορολογική Διοίκηση και του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 και ιδίως την παρ. 2.</w:t>
      </w:r>
    </w:p>
    <w:p>
      <w:pPr>
        <w:pStyle w:val="PreambelText"/>
        <w:spacing w:before="240" w:after="240"/>
        <w:rPr>
          <w:lang w:val="el" w:eastAsia="el"/>
        </w:rPr>
      </w:pPr>
      <w:r>
        <w:rPr>
          <w:lang w:val="el" w:eastAsia="el"/>
        </w:rPr>
        <w:t>15. Το άρθρο 33 του ν. 1836/1989 «Προώθηση της απασχόλησης και της επαγγελματικής κατάρτισης και άλλες διατάξεις» (Α’79), όπως ισχύει μετά την τροποποίησή του από το άρθρο 214 του ν. 4635/2019 (Α’167).</w:t>
      </w:r>
    </w:p>
    <w:p>
      <w:pPr>
        <w:pStyle w:val="PreambelText"/>
        <w:spacing w:before="240" w:after="240"/>
        <w:rPr>
          <w:lang w:val="el" w:eastAsia="el"/>
        </w:rPr>
      </w:pPr>
      <w:r>
        <w:rPr>
          <w:lang w:val="el" w:eastAsia="el"/>
        </w:rPr>
        <w:t>16. Τις παρ. 2 και 3 του άρθρου 27 του π.δ. 246/2006 «Γενικός Κανονισμός Προσωπικού των ΚΤ.Ε.Λ. Α.Ε. και των ΚΤ.Ε.Λ. του ν. 2963/2007» (Α’ 261).</w:t>
      </w:r>
    </w:p>
    <w:p>
      <w:pPr>
        <w:pStyle w:val="PreambelText"/>
        <w:spacing w:before="240" w:after="240"/>
        <w:rPr>
          <w:lang w:val="el" w:eastAsia="el"/>
        </w:rPr>
      </w:pPr>
      <w:r>
        <w:rPr>
          <w:lang w:val="el" w:eastAsia="el"/>
        </w:rPr>
        <w:t>17. Την παρ. 2 του άρθρου 213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20. Το π.δ. 84/2019 «Σύσταση και κατάργηση Γενικών Γραμματειών και Ειδικών Γραμματειών/Ενιαίων Διοικητικών Τομέων» (Α’123).</w:t>
      </w:r>
    </w:p>
    <w:p>
      <w:pPr>
        <w:pStyle w:val="PreambelText"/>
        <w:spacing w:before="240" w:after="240"/>
        <w:rPr>
          <w:lang w:val="el" w:eastAsia="el"/>
        </w:rPr>
      </w:pPr>
      <w:r>
        <w:rPr>
          <w:lang w:val="el" w:eastAsia="el"/>
        </w:rPr>
        <w:t>21. Το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22. Τις διατάξεις περί υπερωριακής απασχόλησης των εργαζομένων (και ιδίως άρθρο 5 και 7 του α.ν. 547/1937 (Α’98), άρθρο 3 του β.δ. 28-1/4-2-1938 (Α’35), άρθρο 3 του β.δ. 14-8/8-9-1950 (Α’202), άρθρο 3 παρ. 1 του ν.δ. 515/1970 (Α’95), άρθρο 18 του π.δ. 8-4/1932 (Α’114), άρθρο 12 του ν.δ. 1037/1971 (Α’235), και τις υπ' αρ. υπουργική απόφαση 6958/13-2-1960 (Β’ 96), 63323/29-9-1961, (Β’350), 39431/6-6-1961 (Β’234) και 65982/13-1-1966 (Β’600)).</w:t>
      </w:r>
    </w:p>
    <w:p>
      <w:pPr>
        <w:pStyle w:val="PreambelText"/>
        <w:spacing w:before="240" w:after="240"/>
        <w:rPr>
          <w:lang w:val="el" w:eastAsia="el"/>
        </w:rPr>
      </w:pPr>
      <w:r>
        <w:rPr>
          <w:lang w:val="el" w:eastAsia="el"/>
        </w:rPr>
        <w:t>23. Τον α.ν. 1846/1951 «Περί κοινωνικών ασφαλίσεων» (Α’ 179) και ιδίως τα άρθρα 8 και 26 παρ. 9 περ. στ’ υποπερ. αα' και ββ', σε συνδυασμό με το άρθρο 20 παρ. 1 και παρ. 2 του ν. 4255/2014 (Α’ 89).</w:t>
      </w:r>
    </w:p>
    <w:p>
      <w:pPr>
        <w:pStyle w:val="PreambelText"/>
        <w:spacing w:before="240" w:after="240"/>
        <w:rPr>
          <w:lang w:val="el" w:eastAsia="el"/>
        </w:rPr>
      </w:pPr>
      <w:r>
        <w:rPr>
          <w:lang w:val="el" w:eastAsia="el"/>
        </w:rPr>
        <w:t>24. Το άρθρο 5 παρ. 2 του ν.δ. 2656/1953 «Περί Οργανώσεως και ελέγχου της αγοράς εργασίας» (Α’299).</w:t>
      </w:r>
    </w:p>
    <w:p>
      <w:pPr>
        <w:pStyle w:val="PreambelText"/>
        <w:spacing w:before="240" w:after="240"/>
        <w:rPr>
          <w:lang w:val="el" w:eastAsia="el"/>
        </w:rPr>
      </w:pPr>
      <w:r>
        <w:rPr>
          <w:lang w:val="el" w:eastAsia="el"/>
        </w:rPr>
        <w:t>25. Το άρθρο 9 παρ. 1 του ν. 3198/1955 «Περί τροποποιήσεως και συμπληρώσεως των περί καταγγελίας της σχέσεως εργασίας διατάξεων» (Α’98).</w:t>
      </w:r>
    </w:p>
    <w:p>
      <w:pPr>
        <w:pStyle w:val="PreambelText"/>
        <w:spacing w:before="240" w:after="240"/>
        <w:rPr>
          <w:lang w:val="el" w:eastAsia="el"/>
        </w:rPr>
      </w:pPr>
      <w:r>
        <w:rPr>
          <w:lang w:val="el" w:eastAsia="el"/>
        </w:rPr>
        <w:t>26. Το άρθρο 38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27. Την παρ. 2 του άρθρου 10 του ν. 2217/1994 «Κατάργηση του Ταμείου Συντάξεων Εκτελωνιστών (ΤΣΕ) υπαγωγή των ασφαλισμένων του στην ασφάλιση του Ταμείου Ασφαλίσεως Επαγγελματιών και Βιοτεχνών της Ελλάδος (ΤΕΒΕ) και άλλες διατάξεις» (Α’ 83), σε συνδυασμό με το άρθρο 13 του ν. 2640/1998 «Δευτεροβάθμια τεχνική και επαγγελματική εκπαίδευση και άλλες διατάξεις» (Α’ 206).</w:t>
      </w:r>
    </w:p>
    <w:p>
      <w:pPr>
        <w:pStyle w:val="PreambelText"/>
        <w:spacing w:before="240" w:after="240"/>
        <w:rPr>
          <w:lang w:val="el" w:eastAsia="el"/>
        </w:rPr>
      </w:pPr>
      <w:r>
        <w:rPr>
          <w:lang w:val="el" w:eastAsia="el"/>
        </w:rPr>
        <w:t>28.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(ΕΕ L 119/4-5-2016, σελ. 1-88).</w:t>
      </w:r>
    </w:p>
    <w:p>
      <w:pPr>
        <w:pStyle w:val="PreambelText"/>
        <w:spacing w:before="240" w:after="240"/>
        <w:rPr>
          <w:lang w:val="el" w:eastAsia="el"/>
        </w:rPr>
      </w:pPr>
      <w:r>
        <w:rPr>
          <w:lang w:val="el" w:eastAsia="el"/>
        </w:rPr>
        <w:t>29. Τον ν. 2956/2001 «Αναδιάρθρωση Ο.Α.Ε.Δ. και άλλες διατάξεις» (Α’ 258).</w:t>
      </w:r>
    </w:p>
    <w:p>
      <w:pPr>
        <w:pStyle w:val="PreambelText"/>
        <w:spacing w:before="240" w:after="240"/>
        <w:rPr>
          <w:lang w:val="el" w:eastAsia="el"/>
        </w:rPr>
      </w:pPr>
      <w:r>
        <w:rPr>
          <w:lang w:val="el" w:eastAsia="el"/>
        </w:rPr>
        <w:t>30. Την. παρ. 1 του άρθρου 14 του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31. Το άρθρο 6 παρ. 1 περ. δ’ του ν. 2972/2001 «Εκσυγχρονισμός της οργάνωσης και της λειτουργίας του ΙΚΑ και άλλες διατάξεις» (Α’ 91), σε συνδυασμό με το άρθ. 38 του ν. 4488/2017 (Α’ 137).</w:t>
      </w:r>
    </w:p>
    <w:p>
      <w:pPr>
        <w:pStyle w:val="PreambelText"/>
        <w:spacing w:before="240" w:after="240"/>
        <w:rPr>
          <w:lang w:val="el" w:eastAsia="el"/>
        </w:rPr>
      </w:pPr>
      <w:r>
        <w:rPr>
          <w:lang w:val="el" w:eastAsia="el"/>
        </w:rPr>
        <w:t>32. Το άρθρο 12 παρ. 4 του ν. 3144/2003 «Κοινωνικός διάλογος για την προώθηση της απασχόλησης και την κοινωνική προστασία και άλλες διατάξεις» (Α’ 111).</w:t>
      </w:r>
    </w:p>
    <w:p>
      <w:pPr>
        <w:pStyle w:val="PreambelText"/>
        <w:spacing w:before="240" w:after="240"/>
        <w:rPr>
          <w:lang w:val="el" w:eastAsia="el"/>
        </w:rPr>
      </w:pPr>
      <w:r>
        <w:rPr>
          <w:lang w:val="el" w:eastAsia="el"/>
        </w:rPr>
        <w:t>33. Τον ν. 3979/2011 «Για την ηλεκτρονική διακυβέρνηση και λοιπές διατάξεις» (Α’ 138).</w:t>
      </w:r>
    </w:p>
    <w:p>
      <w:pPr>
        <w:pStyle w:val="PreambelText"/>
        <w:spacing w:before="240" w:after="240"/>
        <w:rPr>
          <w:lang w:val="el" w:eastAsia="el"/>
        </w:rPr>
      </w:pPr>
      <w:r>
        <w:rPr>
          <w:lang w:val="el" w:eastAsia="el"/>
        </w:rPr>
        <w:t>34. Τα άρθρα 18 και 30 του ν. 3996/2011 «Αναμόρφωση του Σώματος Επιθεωρητών Εργασίας, ρυθμίσεις θεμάτων Κοινωνικής Ασφάλισης και άλλες διατάξεις» (Α’ 170).</w:t>
      </w:r>
    </w:p>
    <w:p>
      <w:pPr>
        <w:pStyle w:val="PreambelText"/>
        <w:spacing w:before="240" w:after="240"/>
        <w:rPr>
          <w:lang w:val="el" w:eastAsia="el"/>
        </w:rPr>
      </w:pPr>
      <w:r>
        <w:rPr>
          <w:lang w:val="el" w:eastAsia="el"/>
        </w:rPr>
        <w:t>35. Το άρθρο 31, την παρ. 1 του άρθρου 32 και την παρ. 2 του άρθρου 53 του ν. 4009/2011 «Δομή, λειτουργία, διασφάλιση της ποιότητας των σπουδών και διεθνοποίηση των ανωτάτων εκπαιδευτικών ιδρυμάτων» (Α’ 195).</w:t>
      </w:r>
    </w:p>
    <w:p>
      <w:pPr>
        <w:pStyle w:val="PreambelText"/>
        <w:spacing w:before="240" w:after="240"/>
        <w:rPr>
          <w:lang w:val="el" w:eastAsia="el"/>
        </w:rPr>
      </w:pPr>
      <w:r>
        <w:rPr>
          <w:lang w:val="el" w:eastAsia="el"/>
        </w:rPr>
        <w:t>36. Τις υποπαρ. ΙΑ. 11 έως ΙΑ. 14 του άρθρου πρώτου του ν. 4093/2012 «Εγκριση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37. Την υποπαρ. ΙΔ.1 και την υποπαρ. ΙΑ.3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38. Το άρθρο 80 παρ. 1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39. Το άρθρο13 του π.δ. της27.6/4.7.32«ΠερίΚωδικοποιήσεως και συμπληρώσεως των περί οκταώρου εργασίας διατάξεων» (Α’ 212) σε συνδυασμό με το άρθρο 13 παρ. 1-7 του ν.δ. 1037/1971 (Α’ 235).</w:t>
      </w:r>
    </w:p>
    <w:p>
      <w:pPr>
        <w:pStyle w:val="PreambelText"/>
        <w:spacing w:before="240" w:after="240"/>
        <w:rPr>
          <w:lang w:val="el" w:eastAsia="el"/>
        </w:rPr>
      </w:pPr>
      <w:r>
        <w:rPr>
          <w:lang w:val="el" w:eastAsia="el"/>
        </w:rPr>
        <w:t>40. Την οικ. 51524/1262/7-11-2019 (Β’ 4173) απόφαση του Υπουργού Εργασίας και Κοινωνικών Υποθέσεων.</w:t>
      </w:r>
    </w:p>
    <w:p>
      <w:pPr>
        <w:pStyle w:val="PreambelText"/>
        <w:spacing w:before="240" w:after="240"/>
        <w:rPr>
          <w:lang w:val="el" w:eastAsia="el"/>
        </w:rPr>
      </w:pPr>
      <w:r>
        <w:rPr>
          <w:lang w:val="el" w:eastAsia="el"/>
        </w:rPr>
        <w:t>41. Την υπ' αρ. 51266/2955/1-12-1975 απόφαση του Υπουργού Απασχόλησης «Περί καθορισμού των ωρών εργασίας του προσωπικού Τουριστικών λεωφορείων αυτοκινήτων (ΠΟΥΛΜΑΝ)» (Β’ 1458), όπως τροποποιήθηκε και συμπληρώθηκε με τις υπ' αρ. 989/1-9-1980 (Β’ 905) και υπ' αρ. 128/21-1-1986 (Β’ 73) αποφάσεις του Υπουργού Εργασίας.</w:t>
      </w:r>
    </w:p>
    <w:p>
      <w:pPr>
        <w:pStyle w:val="PreambelText"/>
        <w:spacing w:before="240" w:after="240"/>
        <w:rPr>
          <w:lang w:val="el" w:eastAsia="el"/>
        </w:rPr>
      </w:pPr>
      <w:r>
        <w:rPr>
          <w:lang w:val="el" w:eastAsia="el"/>
        </w:rPr>
        <w:t>42. Την με υπ’ αρ. Ε5/1303/3-3-1986 απόφαση των Υφυπουργών Υγείας Πρόνοιας και Κοινωνικών Ασφαλίσεων και Εθνικής Παιδείας και Θρησκευμάτων «Ασφάλιση σπουδαστών Τ.Ε.Ι. κατά τη διάρκεια της πρακτικής τους άσκησης» (Β’ 168).</w:t>
      </w:r>
    </w:p>
    <w:p>
      <w:pPr>
        <w:pStyle w:val="PreambelText"/>
        <w:spacing w:before="240" w:after="240"/>
        <w:rPr>
          <w:lang w:val="el" w:eastAsia="el"/>
        </w:rPr>
      </w:pPr>
      <w:r>
        <w:rPr>
          <w:lang w:val="el" w:eastAsia="el"/>
        </w:rPr>
        <w:t>43. Την με υπ’ αρ. Ε5/1797/20-3-1986 απόφαση των Υπουργών Εργασίας και Εθνικής Παιδείας και Θρησκευμάτων «Ρύθμιση θεμάτων αποζημίωσης και συνθηκών απασχόλησης ασκούμενων σπουδαστών Τ.Ε.Ι.» (Β’ 183).</w:t>
      </w:r>
    </w:p>
    <w:p>
      <w:pPr>
        <w:pStyle w:val="PreambelText"/>
        <w:spacing w:before="240" w:after="240"/>
        <w:rPr>
          <w:lang w:val="el" w:eastAsia="el"/>
        </w:rPr>
      </w:pPr>
      <w:r>
        <w:rPr>
          <w:lang w:val="el" w:eastAsia="el"/>
        </w:rPr>
        <w:t>44. Την με υπ’αρ. Ε5/4825/16-6-1986 απόφαση του Υπουργού Εθνικής Παιδείας και Θρησκευμάτων και του Υφυπουργού Εργασίας «Ρύθμιση θεμάτων αποζημίωσης και απασχόλησης ασκούμενων σπουδαστών Τ.Ε.Ι.» (Β’453).</w:t>
      </w:r>
    </w:p>
    <w:p>
      <w:pPr>
        <w:pStyle w:val="PreambelText"/>
        <w:spacing w:before="240" w:after="240"/>
        <w:rPr>
          <w:lang w:val="el" w:eastAsia="el"/>
        </w:rPr>
      </w:pPr>
      <w:r>
        <w:rPr>
          <w:lang w:val="el" w:eastAsia="el"/>
        </w:rPr>
        <w:t>45. Την με υπ’ αρ. 2025805/2917/0022/22-4-1993 απόφαση των Υπουργών Προεδρίας της Κυβέρνησης, Εθνικής Άμυνας, Εξωτερικών, Εσωτερικών, Εθνικής Οικονομίας, Οικονομικών, Γεωργίας, Εργασίας, Υγείας, Πρόνοιας και Κοινωνικών Ασφαλίσεων, Δικαιοσύνης, Εθνικής Παιδείας και Θρησκευμάτων, Πολιτισμού, Εμπορικής Ναυτιλίας, Δημόσιας Τάξης, Μακεδονίας Θράκης, Αιγαίου, Περιβάλλοντος, Χωροταξίας και Δημοσίων Έργων, Βιομηχανίας, Ενέργειας και Τεχνολογίας, Εμπορίου και Μεταφορών και Επικοινωνιών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Δημοσίου Τομέα» (Β’307).</w:t>
      </w:r>
    </w:p>
    <w:p>
      <w:pPr>
        <w:pStyle w:val="PreambelText"/>
        <w:spacing w:before="240" w:after="240"/>
        <w:rPr>
          <w:lang w:val="el" w:eastAsia="el"/>
        </w:rPr>
      </w:pPr>
      <w:r>
        <w:rPr>
          <w:lang w:val="el" w:eastAsia="el"/>
        </w:rPr>
        <w:t>46. Την με υπ’ αρ. 16802/667/27-8-2010 απόφαση των Υπουργών Παιδείας Δια Βίου Μάθησης, Θρησκευμάτων και Εργασίας και Κοινωνικής Ασφάλισης και Πολιτισμού και Τουρισμού «Όροι και προϋποθέσεις πρακτικής άσκησης ημεδαπών και αλλοδαπών σπουδαστών/μαθητών Σχολών Τουριστικής Εκπαίδευσης και φοιτητών τριτοβάθμιας εκπαίδευσης» (Β’ 1345).</w:t>
      </w:r>
    </w:p>
    <w:p>
      <w:pPr>
        <w:pStyle w:val="PreambelText"/>
        <w:spacing w:before="240" w:after="240"/>
        <w:rPr>
          <w:lang w:val="el" w:eastAsia="el"/>
        </w:rPr>
      </w:pPr>
      <w:r>
        <w:rPr>
          <w:lang w:val="el" w:eastAsia="el"/>
        </w:rPr>
        <w:t>47. Την με υπ’ αρ. 139931/Κ1/8-9-2015 απόφαση των Υπουργών Οικονομίας Υποδομών Ναυτιλίας και Τουρισμού, Πολιτισμού Παιδείας και Θρησκευμάτων, Οικονομικών, Εργασίας Κοινωνικής Ασφάλισης και Κοινωνικής Αλληλεγγύης και Υγείας «Πρακτική Άσκηση ή Μαθητεία καταρτιζομένων ΙΕΚ» (Β’ 1953).</w:t>
      </w:r>
    </w:p>
    <w:p>
      <w:pPr>
        <w:pStyle w:val="PreambelText"/>
        <w:spacing w:before="240" w:after="240"/>
        <w:rPr>
          <w:lang w:val="el" w:eastAsia="el"/>
        </w:rPr>
      </w:pPr>
      <w:r>
        <w:rPr>
          <w:lang w:val="el" w:eastAsia="el"/>
        </w:rPr>
        <w:t>48. Την με υπ’ αρ. 26385/16-2-2017 απόφαση των Υπουργών Οικονομίας και Ανάπτυξης, Παιδείας Έρευνας και Θρησκευμάτων και Εργασίας Κοινωνικής Ασφάλισης και Κοινωνικής Αλληλεγγύης «Πλαίσιο Ποιότητας Μαθητείας», (Β’ 491), όπως τροποποιήθηκε με τις υπ’ αρ. 60615/Δ4/7-4-2017 (Β’1441) και Φ4/117002/Δ4/ 11-7-2018 (Β’ 2784) όμοιες.</w:t>
      </w:r>
    </w:p>
    <w:p>
      <w:pPr>
        <w:pStyle w:val="PreambelText"/>
        <w:spacing w:before="240" w:after="240"/>
        <w:rPr>
          <w:lang w:val="el" w:eastAsia="el"/>
        </w:rPr>
      </w:pPr>
      <w:r>
        <w:rPr>
          <w:lang w:val="el" w:eastAsia="el"/>
        </w:rPr>
        <w:t>49. Την με υπ’ αρ. Kl/118932/13-7-2017 απόφαση των Υπουργών Οικονομίας και Ανάπτυξης, Παιδείας Έρευνας και Θρησκευμάτων και Εργασίας Κοινωνικής Ασφάλισης και Κοινωνικής Αλληλεγγύης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 (Β’ 2440), όπως τροποποιήθηκε με τη με υπ’ αρ. Kl/85151/2019 όμοια της (Β’ 2117).</w:t>
      </w:r>
    </w:p>
    <w:p>
      <w:pPr>
        <w:pStyle w:val="PreambelText"/>
        <w:spacing w:before="240" w:after="240"/>
        <w:rPr>
          <w:lang w:val="el" w:eastAsia="el"/>
        </w:rPr>
      </w:pPr>
      <w:r>
        <w:rPr>
          <w:lang w:val="el" w:eastAsia="el"/>
        </w:rPr>
        <w:t>50. Την με υπ’ αρ. Φ7/155762/Δ4/19-9-2018 απόφαση των Υπουργών Οικονομίας και Ανάπτυξης, Παιδείας, Έρευνας και Θρησκευμάτων, Εργασίας, Κοινωνικής Ασφάλισης και Κοινωνικής Ασφάλισης και Κοινωνικής Αλληλεγγύης και Υγείας «Υλοποίηση «Μεταλυκειακού Έτους - Τάξη Μαθητείας» αρμοδιότητας Υπουργείου Παιδείας, Έρευνας και Θρησκευμάτων» (Β’ 4191), όπως τροποποιήθηκε με την Φ7/35243/Δ4/6-3-2019 όμοιά της (Β’ 866).</w:t>
      </w:r>
    </w:p>
    <w:p>
      <w:pPr>
        <w:pStyle w:val="PreambelText"/>
        <w:spacing w:before="240" w:after="240"/>
        <w:rPr>
          <w:lang w:val="el" w:eastAsia="el"/>
        </w:rPr>
      </w:pPr>
      <w:r>
        <w:rPr>
          <w:lang w:val="el" w:eastAsia="el"/>
        </w:rPr>
        <w:t>51. Τη με υπ’ αρ. 17008/307/12-4-2019 απόφαση των Υπουργών Οικονομίας και Ανάπτυξης, Παιδείας, Έρευνας και Θρησκευμάτων και Εργασίας, Κοινωνικής Ασφάλισης και Κοινωνικής Αλληλεγγύης και Οικονομικών «Επιδότηση της Μαθητείας/Πρακτικής Άσκησης μαθητευόμενων των Επαγγελματικών Σχολών (ΕΠΑ.Σ.) Μαθητείας του ν. 3475/2006, που απασχολούνται στο Δημόσιο, σε φορείς του Δημοσίου Τομέα, στους Ο ΤΑ, σε επιχειρήσεις Οργανισμών Τοπικής Αυτοδιοίκησης (Ο. Τ. Α.), σε ιδιωτικές επιχειρήσεις ή εκμεταλλεύσεις, σε συνεταιρισμούς, σε σωματεία κατά το έτος 2019 και λοιποί όροι υλοποίησης της Μαθητείας/Πρακτικής Άσκησης των ΕΠΑ.Σ» (Β’ 1340).</w:t>
      </w:r>
    </w:p>
    <w:p>
      <w:pPr>
        <w:pStyle w:val="PreambelText"/>
        <w:spacing w:before="240" w:after="240"/>
        <w:rPr>
          <w:lang w:val="el" w:eastAsia="el"/>
        </w:rPr>
      </w:pPr>
      <w:r>
        <w:rPr>
          <w:lang w:val="el" w:eastAsia="el"/>
        </w:rPr>
        <w:t>52. Το άρθρο 5 του ν. 3846/2010 (Α’ 66) «Εγγυήσεις για την εργασιακή ασφάλεια και άλλες διατάξεις».</w:t>
      </w:r>
    </w:p>
    <w:p>
      <w:pPr>
        <w:pStyle w:val="PreambelText"/>
        <w:spacing w:before="240" w:after="240"/>
        <w:rPr>
          <w:lang w:val="el" w:eastAsia="el"/>
        </w:rPr>
      </w:pPr>
      <w:r>
        <w:rPr>
          <w:lang w:val="el" w:eastAsia="el"/>
        </w:rPr>
        <w:t>53. Το άρθρο 4 της Εθνικής Γενικής Συλλογικής Σύμβασης Εργασίας ετών 2006 και 2007, με την οποία η χώρα μας ενσωμάτωσε την ευρωπαϊκή Συμφωνία - Πλαίσιο για την τηλεργασία (Προσάρτημα Β).</w:t>
      </w:r>
    </w:p>
    <w:p>
      <w:pPr>
        <w:pStyle w:val="PreambelText"/>
        <w:spacing w:before="240" w:after="240"/>
        <w:rPr>
          <w:lang w:val="el" w:eastAsia="el"/>
        </w:rPr>
      </w:pPr>
      <w:r>
        <w:rPr>
          <w:lang w:val="el" w:eastAsia="el"/>
        </w:rPr>
        <w:t>54. Το άρθρο 90 του Κώδικα Νομοθεσίας για την Κυβέρνηση και τα Κυβερνητικά Όργανα που κυρώθηκε με το άρθρο 1 του π.δ. 63/2005 (Α’98).</w:t>
      </w:r>
    </w:p>
    <w:p>
      <w:pPr>
        <w:pStyle w:val="PreambelText"/>
        <w:spacing w:before="240" w:after="240"/>
        <w:rPr>
          <w:lang w:val="el" w:eastAsia="el"/>
        </w:rPr>
      </w:pPr>
      <w:r>
        <w:rPr>
          <w:lang w:val="el" w:eastAsia="el"/>
        </w:rPr>
        <w:t>55. Την υπ’ αρ. υπουργική απόφαση 40331/Δ1.13521/ 13-9-2019 (Β’3520)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με τις υπ’ αρ. 44568/Δ1.14795/ 7-10-2019 (Β’3751), υπ’ αρ. 54286/Δ1.17642/21-11-2019 (Β’4293), υπ’ αρ. 12338/Δ1.4372/12-3-2020 (Β’854), υπ’ αρ. 13031/Δ1.4551/23-3-2020 (Β’994), υπ’ αρ. 13272/ Δ1.4607/30-3-2020 (Β’1131), υπ’ αρ. 13564/Δ1.4770/ 30-3-2020 (Β’1161), υπ’ αρ. 14638/Δ1. 4991/9-4-2020 (Β’1424), υπ’ αρ. 17239/Δ1.5936/4-5-2020 (Β’1695) υπουργική απόφαση και ισχύει.</w:t>
      </w:r>
    </w:p>
    <w:p>
      <w:pPr>
        <w:pStyle w:val="PreambelText"/>
        <w:spacing w:before="240" w:after="240"/>
        <w:rPr>
          <w:lang w:val="el" w:eastAsia="el"/>
        </w:rPr>
      </w:pPr>
      <w:r>
        <w:rPr>
          <w:lang w:val="el" w:eastAsia="el"/>
        </w:rPr>
        <w:t>56. Την αναστολή της υποχρέωσης του εργοδότη να καταχωρεί στο πληροφοριακό σύστημα «ΕΡΓΑΝΗ» του Υπουργείου Εργασίας και Κοινωνικών Υποθέσεων κάθε αλλαγή ή τροποποίηση του ωραρίου ή της οργάνωσης του χρόνου εργασίας των εργαζομένων, καθώς και την υπερεργασία και τη νόμιμη, κατά την ισχύουσα νομοθεσία, υπερωριακή απασχόληση, όπως αυτή προκύπτει από την ΠΝΠ «Κατεπείγοντα μέτρα αντιμετώπισης των αρνητικών συνεπειών της εμφάνισης του κορωνοϊού COVID-19 και της ανάγκης περιορισμού της διάδοσής του», με την οποία ανεστάλη κατ' ουσίαν η λειτουργία των ακόλουθων εντύπων του ΠΣ Εργάνη: Ε4 Συμπληρωματικός ωραρίου, Ε8 Αναγγελία υπερεργασίας ή νόμιμης υπερωριακής απασχόλησης, Ε12-е-ΟΙΚΟΔΟΜΩ: Αναγγελία του Απασχολούμενου Προσωπικού επί εκτέλεσης οικοδομικής εργασίας ή τεχνικού έργου.</w:t>
      </w:r>
    </w:p>
    <w:p>
      <w:pPr>
        <w:pStyle w:val="PreambelText"/>
        <w:spacing w:before="240" w:after="240"/>
        <w:rPr>
          <w:lang w:val="el" w:eastAsia="el"/>
        </w:rPr>
      </w:pPr>
      <w:r>
        <w:rPr>
          <w:lang w:val="el" w:eastAsia="el"/>
        </w:rPr>
        <w:t>57. Τη θέσπιση μηχανισμού στήριξης των εργαζομένων σε επιχειρήσεις - εργοδότες, των οποίων η λειτουργία έχει προσωρινά απαγορευθεί λόγω των έκτακτων μέτρων αντιμετώπισης του κορωνοϊού COVID-19.</w:t>
      </w:r>
    </w:p>
    <w:p>
      <w:pPr>
        <w:pStyle w:val="PreambelText"/>
        <w:spacing w:before="240" w:after="240"/>
        <w:rPr>
          <w:lang w:val="el" w:eastAsia="el"/>
        </w:rPr>
      </w:pPr>
      <w:r>
        <w:rPr>
          <w:lang w:val="el" w:eastAsia="el"/>
        </w:rPr>
        <w:t>58. Τα έκτακτα και προσωρινά μέτρα στην αγορά εργασίας για την αντιμετώπιση και τον περιορισμό της διασποράς του κορωνοϊού COVID-19.</w:t>
      </w:r>
    </w:p>
    <w:p>
      <w:pPr>
        <w:pStyle w:val="PreambelText"/>
        <w:spacing w:before="240" w:after="240"/>
        <w:rPr>
          <w:lang w:val="el" w:eastAsia="el"/>
        </w:rPr>
      </w:pPr>
      <w:r>
        <w:rPr>
          <w:lang w:val="el" w:eastAsia="el"/>
        </w:rPr>
        <w:t>59. Την υποχρέωση λήψης των απαιτούμενων τεχνικών και οργανωτικών μέτρων για τη διασφάλιση της προστασίας των προσωπικών δεδομένων των υποκειμένων σε όλες τις επεξεργασίες που θεσπίζονται.</w:t>
      </w:r>
    </w:p>
    <w:p>
      <w:pPr>
        <w:pStyle w:val="PreambelText"/>
        <w:spacing w:before="240" w:after="240"/>
        <w:rPr>
          <w:lang w:val="el" w:eastAsia="el"/>
        </w:rPr>
      </w:pPr>
      <w:r>
        <w:rPr>
          <w:lang w:val="el" w:eastAsia="el"/>
        </w:rPr>
        <w:t>60.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Τροποποιείται η υπ’ αρ. 40331/Δ1.13521/13-9-2019 (Β’3520)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 ως εξής:</w:t>
      </w:r>
    </w:p>
    <w:p>
      <w:pPr>
        <w:pStyle w:val="MainText"/>
        <w:spacing w:before="120" w:after="0"/>
        <w:rPr>
          <w:lang w:val="el" w:eastAsia="el"/>
        </w:rPr>
      </w:pPr>
      <w:r>
        <w:rPr>
          <w:b/>
          <w:bCs/>
          <w:lang w:val="el" w:eastAsia="el"/>
        </w:rPr>
        <w:t>1.</w:t>
      </w:r>
      <w:r>
        <w:rPr>
          <w:lang w:val="el" w:eastAsia="el"/>
        </w:rPr>
        <w:t xml:space="preserve"> Τροποποιείται η περίπτωση 1 του άρθρου 10 «Υποστήριξη του ΠΣ ΕΡΓΑΝΗ», ως εξής:</w:t>
      </w:r>
    </w:p>
    <w:p>
      <w:pPr>
        <w:spacing w:before="240" w:after="240"/>
        <w:rPr>
          <w:lang w:val="el" w:eastAsia="el"/>
        </w:rPr>
      </w:pPr>
      <w:r>
        <w:rPr>
          <w:lang w:val="el" w:eastAsia="el"/>
        </w:rPr>
        <w:t>«10.1 Στις καθ' ύλην αρμόδιες Διευθύνσεις του Υπουργείου Εργασίας και Κοινωνικών Υποθέσεων, καθώς και στις Κεντρικές Υπηρεσίες και τις Περιφερειακές Διευθύνσεις του ΣΕΠΕ και του ΟΑΕΔ λειτουργούν ομάδες υποστήριξης του ΠΣ ΕΡΓΑΝΗ οι οποίες αποτελούνται από:</w:t>
      </w:r>
    </w:p>
    <w:p>
      <w:pPr>
        <w:spacing w:before="240" w:after="240"/>
        <w:rPr>
          <w:lang w:val="el" w:eastAsia="el"/>
        </w:rPr>
      </w:pPr>
      <w:r>
        <w:rPr>
          <w:lang w:val="el" w:eastAsia="el"/>
        </w:rPr>
        <w:t>α) δύο (2) τουλάχιστον υπαλλήλους από τις αρμόδιες Διευθύνσεις της Κεντρικής Υπηρεσίας του Υπουργείου Εργασίας και Κοινωνικών Υποθέσεων,</w:t>
      </w:r>
    </w:p>
    <w:p>
      <w:pPr>
        <w:spacing w:before="240" w:after="240"/>
        <w:rPr>
          <w:lang w:val="el" w:eastAsia="el"/>
        </w:rPr>
      </w:pPr>
      <w:r>
        <w:rPr>
          <w:lang w:val="el" w:eastAsia="el"/>
        </w:rPr>
        <w:t>β) πέντε (5) υπαλλήλους (Επιθεωρητές Εργασίας) από την Κεντρική Υπηρεσία του Σ.ΕΠ.Ε., εκ των οποίων τέσσερις (4) από τις Διευθύνσεις Προγραμματισμού και Συντονισμού Επιθεώρησης Εργασιακών Σχέσεων και Υποστήριξης και έναν (1) από την Διεύθυνση Προγραμματισμού και Συντονισμού Ασφάλειας και Υγείας στην Εργασία,</w:t>
      </w:r>
    </w:p>
    <w:p>
      <w:pPr>
        <w:spacing w:before="240" w:after="240"/>
        <w:rPr>
          <w:lang w:val="el" w:eastAsia="el"/>
        </w:rPr>
      </w:pPr>
      <w:r>
        <w:rPr>
          <w:lang w:val="el" w:eastAsia="el"/>
        </w:rPr>
        <w:t>γ) δυο (2) Επιθεωρητές Εργασιακών Σχέσεων από κάθε Περιφερειακή Διεύθυνση Επιθεώρησης Εργασιακών Σχέσεων,</w:t>
      </w:r>
    </w:p>
    <w:p>
      <w:pPr>
        <w:spacing w:before="240" w:after="240"/>
        <w:rPr>
          <w:lang w:val="el" w:eastAsia="el"/>
        </w:rPr>
      </w:pPr>
      <w:r>
        <w:rPr>
          <w:lang w:val="el" w:eastAsia="el"/>
        </w:rPr>
        <w:t>δ) τρεις (3) υπαλλήλους της Διεύθυνσης Μηχανογράφησης και δύο (2) τουλάχιστον διοικητικούς υπαλλήλους από κάθε άλλη αρμόδια Διεύθυνση της Διοίκησης του ΟΑΕΔ, ε) δύο (2) υπαλλήλους διοικητικούς ή/και πληροφορικής από κάθε Περιφερειακή Διεύθυνση του ΟΑΕΔ.».</w:t>
      </w:r>
    </w:p>
    <w:p>
      <w:pPr>
        <w:pStyle w:val="MainText"/>
        <w:spacing w:before="120" w:after="0"/>
        <w:rPr>
          <w:lang w:val="el" w:eastAsia="el"/>
        </w:rPr>
      </w:pPr>
      <w:r>
        <w:rPr>
          <w:b/>
          <w:bCs/>
          <w:lang w:val="el" w:eastAsia="el"/>
        </w:rPr>
        <w:t>2.</w:t>
      </w:r>
      <w:r>
        <w:rPr>
          <w:lang w:val="el" w:eastAsia="el"/>
        </w:rPr>
        <w:t xml:space="preserve"> Στο άρθρο 14 «Μεταβατικές διατάξεις - Εξαιρέσεις», προστίθεται περίπτωση 14.15 ως εξής: «14.15. Σε εφαρμογή του άρθρου δεκάτου ενάτου της από 30-3-2020 ΠΝΠ (Α’ 75), του άρθρου 1 και της παρ. 3 του άρθρου 2 της κοινής απόφασης υπ’ αρ. 21036/1737/2-6-2020 (Β’2141) για την πληρωμή προς τους εργοδότες του επιδόματος εορτών Πάσχα για το οποίο βαρύνεται ο κρατικός προϋπολογισμός, οι εργοδότες υποβάλλουν στο ΠΣ ΕΡΓΑΝΗ από 1-7-2020 έως10-7-2020 το έντυπο «Υπεύθυνη Δήλωση Επιχειρήσεων - Εργοδοτών για το επίδομα εορτών Πάσχα έτους 2020 για το οποίο βαρύνεται ο κρατικός προϋπολογισμός», δηλώνοντας όλα τα απαραίτητα στοιχεία, ήτοι τα στοιχεία της επιχείρησης, τα στοιχεία του τραπεζικού τους λογαριασμού (ΓΒΑΝ), τα στοιχεία των εργαζομένων τους, καθώς και το ποσό του επιδόματος εορτών Πάσχα 2020 (μικτές αποδοχές εργαζομένου και αναλογούσες εργοδοτικές εισφορές και κρατήσεις) που αντιστοιχεί στο χρονικό διάστημα αναστολής της εργασιακής σχέσης εκάστου μισθωτού και το οποίο καλύπτεται από τον κρατικό προϋπολογισμό».</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Συμπληρώνεται με το ακόλουθο έντυπο το παράρτημα της υπ’ αρ. 40331/Δ1.13521/13-9-2019 (Β’ 3520) απόφασης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 ως εξής:</w:t>
      </w:r>
    </w:p>
    <w:p>
      <w:pPr>
        <w:pStyle w:val="StructureList1"/>
        <w:spacing w:before="120" w:after="0"/>
        <w:rPr>
          <w:lang w:val="el" w:eastAsia="el"/>
        </w:rPr>
      </w:pPr>
      <w:r>
        <w:rPr>
          <w:lang w:val="el" w:eastAsia="el"/>
        </w:rPr>
        <w:t>i)</w:t>
      </w:r>
      <w:r>
        <w:rPr>
          <w:lang w:val="en" w:eastAsia="en"/>
        </w:rPr>
        <w:tab/>
      </w:r>
      <w:r>
        <w:rPr>
          <w:lang w:val="el" w:eastAsia="el"/>
        </w:rPr>
        <w:t>Προστίθεται ειδικό έντυπο «Υπεύθυνη Δήλωση Επιχειρήσεων - Εργοδοτών για το επίδομα εορτών Πάσχα έτους 2020 για το οποίο βαρύνεται ο κρατικός προϋπολογισμός»,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57"/>
        <w:gridCol w:w="399"/>
        <w:gridCol w:w="4605"/>
        <w:gridCol w:w="39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Υπεύθυνη Δήλωση Επιχειρήσεων - Εργοδοτών</w:t>
            </w:r>
            <w:r>
              <w:rPr>
                <w:b/>
                <w:bCs/>
                <w:i w:val="0"/>
                <w:iCs w:val="0"/>
                <w:smallCaps w:val="0"/>
                <w:color w:val="000000"/>
                <w:sz w:val="30"/>
                <w:szCs w:val="30"/>
                <w:vertAlign w:val="superscript"/>
                <w:lang w:val="el" w:eastAsia="el"/>
              </w:rPr>
              <w:t>1</w:t>
            </w:r>
            <w:r>
              <w:rPr>
                <w:b/>
                <w:bCs/>
                <w:i w:val="0"/>
                <w:iCs w:val="0"/>
                <w:smallCaps w:val="0"/>
                <w:color w:val="000000"/>
                <w:lang w:val="el" w:eastAsia="el"/>
              </w:rPr>
              <w:t xml:space="preserve"> για το επίδομα εορτών Πάσχα έτους 2020 για το οποίο βαρύνεται ο κρατικός 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1"/>
        <w:gridCol w:w="661"/>
        <w:gridCol w:w="644"/>
        <w:gridCol w:w="2441"/>
        <w:gridCol w:w="2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ΠΕΡΙΓΡΑΦΗ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3"/>
        <w:gridCol w:w="742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ΠΑΡΑΡΤΗΜΑΤΟΣ </w:t>
            </w:r>
            <w:r>
              <w:rPr>
                <w:b w:val="0"/>
                <w:bCs w:val="0"/>
                <w:i/>
                <w:iCs/>
                <w:smallCaps w:val="0"/>
                <w:color w:val="000000"/>
                <w:lang w:val="el" w:eastAsia="el"/>
              </w:rPr>
              <w:t>ΕΡΓΟΔΟΤΗ</w:t>
            </w:r>
            <w:r>
              <w:rPr>
                <w:b w:val="0"/>
                <w:bCs w:val="0"/>
                <w:i w:val="0"/>
                <w:iCs w:val="0"/>
                <w:smallCaps w:val="0"/>
                <w:color w:val="000000"/>
                <w:lang w:val="el" w:eastAsia="el"/>
              </w:rPr>
              <w:t xml:space="preserve"> ΚΑΤΑ 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 ΚΩΔΙΚΟΣ ΥΠΟΚ/ΤΟΣ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ΚΩΔΙΚΟΣ ΤΡΑΠΕΖΑΣ ΚΑΙ ΑΡΙΘΜΟΣ ΛΟΓΑΡΙΑΣΜΟΥ IBAN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ΤΡΑΠΕΖΑ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ΠΕΡΙΕΧΟΜΕΝΟ ΔΗΛΩΣΗΣ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ατομική μου ευθύνη και γνωρίζοντας τις κυρώσεις, που προβλέπονται από τις διατάξεις της παρ. 6 του άρθρου 22 του Ν. 1599/1986</w:t>
            </w:r>
            <w:r>
              <w:rPr>
                <w:b/>
                <w:bCs/>
                <w:i w:val="0"/>
                <w:iCs w:val="0"/>
                <w:smallCaps w:val="0"/>
                <w:color w:val="000000"/>
                <w:sz w:val="30"/>
                <w:szCs w:val="30"/>
                <w:vertAlign w:val="superscript"/>
                <w:lang w:val="el" w:eastAsia="el"/>
              </w:rPr>
              <w:t>2</w:t>
            </w:r>
            <w:r>
              <w:rPr>
                <w:b w:val="0"/>
                <w:bCs w:val="0"/>
                <w:i w:val="0"/>
                <w:iCs w:val="0"/>
                <w:smallCaps w:val="0"/>
                <w:color w:val="000000"/>
                <w:lang w:val="el" w:eastAsia="el"/>
              </w:rPr>
              <w:t xml:space="preserve">, με την παρούσα </w:t>
            </w:r>
            <w:r>
              <w:rPr>
                <w:b/>
                <w:bCs/>
                <w:i w:val="0"/>
                <w:iCs w:val="0"/>
                <w:smallCaps w:val="0"/>
                <w:color w:val="000000"/>
                <w:lang w:val="el" w:eastAsia="el"/>
              </w:rPr>
              <w:t xml:space="preserve">ΔΗΛΩΝΩ ΥΠΕΥΘΥΝΑ </w:t>
            </w:r>
            <w:r>
              <w:rPr>
                <w:b w:val="0"/>
                <w:bCs w:val="0"/>
                <w:i w:val="0"/>
                <w:iCs w:val="0"/>
                <w:smallCaps w:val="0"/>
                <w:color w:val="000000"/>
                <w:lang w:val="el" w:eastAsia="el"/>
              </w:rPr>
              <w:t>ότι, το μέρος του επιδόματος εορτών για το οποίο βαρύνεται ο κρατικός προϋπολογισμός αναφέρεται ανά εργαζόμενο στον παρακάτω πίνακα.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Το</w:t>
            </w:r>
            <w:r>
              <w:rPr>
                <w:b w:val="0"/>
                <w:bCs w:val="0"/>
                <w:i w:val="0"/>
                <w:iCs w:val="0"/>
                <w:smallCaps w:val="0"/>
                <w:color w:val="000000"/>
                <w:lang w:val="el" w:eastAsia="el"/>
              </w:rPr>
              <w:t xml:space="preserve"> Υπουργείο Εργασίας και Κοινωνικών Υποθέσεων</w:t>
            </w:r>
            <w:r>
              <w:rPr>
                <w:b w:val="0"/>
                <w:bCs w:val="0"/>
                <w:i/>
                <w:iCs/>
                <w:smallCaps w:val="0"/>
                <w:color w:val="000000"/>
                <w:lang w:val="el" w:eastAsia="el"/>
              </w:rPr>
              <w:t>,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Στις περιπτώσεις που τα δεδομένα που υποβάλλονται αφορούν : (a) μεμονωμένα φυσικά πρόσωπα (ατομικές επιχειρήσεις) ή (β) μονοπρόσωπες εταιρείες (όταν αυτά τα εταιρικά δεδομένα καθιστούν δυνατή την ταυτοποίηση ενός φυσικού προσώπου), τότε εφαρμόζονται οι κανόνες προστασίας δεδομένων προσωπικού χαρακτήρα, δηλαδή ο Γενικός Κανονισμός Προστασίας Δεδομένων 679/2016/ΕΕ και ο εθνικός νόμος 4624/2019. Σκοπός επεξεργασίας είναι εφαρμογή κατεπειγόντων μέτρων αντιμετώπισης των αρνητικών συνεπειών της εμφάνισης του κορωνοϊού COVID-19. Η νόμιμη βάση επεξεργασίας των δεδομένων αυτών είναι η άσκηση δημόσιας εξουσίας που έχει ανατεθεί στο</w:t>
            </w:r>
            <w:r>
              <w:rPr>
                <w:b w:val="0"/>
                <w:bCs w:val="0"/>
                <w:i w:val="0"/>
                <w:iCs w:val="0"/>
                <w:smallCaps w:val="0"/>
                <w:color w:val="000000"/>
                <w:lang w:val="el" w:eastAsia="el"/>
              </w:rPr>
              <w:t xml:space="preserve"> Υπουργείο Εργασίας και Κοινωνικών Υποθέσεων</w:t>
            </w:r>
            <w:r>
              <w:rPr>
                <w:b w:val="0"/>
                <w:bCs w:val="0"/>
                <w:i/>
                <w:iCs/>
                <w:smallCaps w:val="0"/>
                <w:color w:val="000000"/>
                <w:lang w:val="el" w:eastAsia="el"/>
              </w:rPr>
              <w:t>, σύμφωνα με τη συναφή νομοθεσία.</w:t>
            </w:r>
          </w:p>
          <w:p>
            <w:pPr>
              <w:spacing w:before="240"/>
              <w:rPr>
                <w:b w:val="0"/>
                <w:bCs w:val="0"/>
                <w:i w:val="0"/>
                <w:iCs w:val="0"/>
                <w:smallCaps w:val="0"/>
                <w:color w:val="000000"/>
                <w:lang w:val="el" w:eastAsia="el"/>
              </w:rPr>
            </w:pPr>
            <w:r>
              <w:rPr>
                <w:b w:val="0"/>
                <w:bCs w:val="0"/>
                <w:i/>
                <w:iCs/>
                <w:smallCaps w:val="0"/>
                <w:color w:val="000000"/>
                <w:lang w:val="el" w:eastAsia="el"/>
              </w:rPr>
              <w:t>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Εχετε δικαίωμα ενημέρωσης, πρόσβασης, διόρθωσης, περιορισμού, εναντίωσης και καταγγελίας στην Αρχή Προστασίας Αεδομένων Προσωπικού Χαρακτήρα καθώς και δικαίωμα επικοινωνίας με τον Υπεύθυνο Προστασίας Αεδομένων του</w:t>
            </w:r>
            <w:r>
              <w:rPr>
                <w:b w:val="0"/>
                <w:bCs w:val="0"/>
                <w:i w:val="0"/>
                <w:iCs w:val="0"/>
                <w:smallCaps w:val="0"/>
                <w:color w:val="000000"/>
                <w:lang w:val="el" w:eastAsia="el"/>
              </w:rPr>
              <w:t xml:space="preserve"> Υπουργείου Εργασίας και Κοινωνικών Υποθέσεων </w:t>
            </w:r>
            <w:r>
              <w:rPr>
                <w:b w:val="0"/>
                <w:bCs w:val="0"/>
                <w:i/>
                <w:iCs/>
                <w:smallCaps w:val="0"/>
                <w:color w:val="000000"/>
                <w:lang w:val="el" w:eastAsia="el"/>
              </w:rPr>
              <w:t xml:space="preserve">στην ηλεκτρονική διεύθυνση: </w:t>
            </w:r>
            <w:hyperlink r:id="rId4" w:history="1">
              <w:r>
                <w:rPr>
                  <w:rStyle w:val="Hyperlink"/>
                  <w:b w:val="0"/>
                  <w:bCs w:val="0"/>
                  <w:i/>
                  <w:iCs/>
                  <w:smallCaps w:val="0"/>
                  <w:color w:val="0000EE"/>
                  <w:u w:color="0000EE"/>
                  <w:lang w:val="el" w:eastAsia="el"/>
                </w:rPr>
                <w:t>dpo@yeka.gr</w:t>
              </w:r>
            </w:hyperlink>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Ο/Η ΝΟΜΙΜΟΣ ΕΚΠΡΟΣΩΠΟΣ</w:t>
            </w:r>
          </w:p>
        </w:tc>
      </w:tr>
    </w:tbl>
    <w:p>
      <w:pPr>
        <w:spacing w:before="240" w:after="240"/>
        <w:rPr>
          <w:lang w:val="el" w:eastAsia="el"/>
        </w:rPr>
      </w:pPr>
      <w:r>
        <w:rPr>
          <w:lang w:val="el" w:eastAsia="el"/>
        </w:rPr>
        <w:t>Ι.Όπου στην παρούσα αναφέρεται ο όρος Επιχείρηση-Εργοδότης νοούνται όλοι όσοι απασχολούν προσωπικό με εξαρτημένη σχέση εργασίας. Στην κατηγορία υπάγονται και οι ατομικές επιχειρήσεις και οι ελεύθεροι επαγγελματίες που απασχολούν προσωπικό με εξαρτημένη σχέση εργασίας.</w:t>
      </w:r>
    </w:p>
    <w:p>
      <w:pPr>
        <w:pStyle w:val="MainText"/>
        <w:spacing w:before="120" w:after="0"/>
        <w:rPr>
          <w:lang w:val="el" w:eastAsia="el"/>
        </w:rPr>
      </w:pPr>
      <w:r>
        <w:rPr>
          <w:b/>
          <w:bCs/>
          <w:lang w:val="el" w:eastAsia="el"/>
        </w:rPr>
        <w:t>2.</w:t>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Ο &lt; Ο W Ο Η G h Β</w:t>
      </w:r>
    </w:p>
    <w:p>
      <w:pPr>
        <w:pStyle w:val="Heading6"/>
        <w:spacing w:before="240" w:after="240"/>
        <w:rPr>
          <w:lang w:val="el" w:eastAsia="el"/>
        </w:rPr>
      </w:pPr>
      <w:r>
        <w:rPr>
          <w:rStyle w:val="article-num"/>
          <w:lang w:val="el" w:eastAsia="el"/>
        </w:rPr>
        <w:t>Άρθρο τρίτο</w:t>
      </w:r>
    </w:p>
    <w:p>
      <w:pPr>
        <w:pStyle w:val="MainText"/>
        <w:spacing w:before="120" w:after="0"/>
        <w:rPr>
          <w:lang w:val="el" w:eastAsia="el"/>
        </w:rPr>
      </w:pPr>
      <w:r>
        <w:rPr>
          <w:b/>
          <w:bCs/>
          <w:lang w:val="el" w:eastAsia="el"/>
        </w:rPr>
        <w:t>1.</w:t>
      </w:r>
      <w:r>
        <w:rPr>
          <w:lang w:val="el" w:eastAsia="el"/>
        </w:rPr>
        <w:t xml:space="preserve"> Κατά τα λοιπά ισχύει η υπ’ αρ. 40331/Δ1.13521/13-9-2019 (Β’3520)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Ιουνίου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po@yeka.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