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59886/ΕΥΚΕ913/2020</w:t>
      </w:r>
    </w:p>
    <w:p>
      <w:pPr>
        <w:pStyle w:val="Title"/>
        <w:spacing w:before="120" w:after="360"/>
        <w:rPr>
          <w:lang w:val="el" w:eastAsia="el"/>
        </w:rPr>
      </w:pPr>
      <w:r>
        <w:rPr>
          <w:lang w:val="el" w:eastAsia="el"/>
        </w:rPr>
        <w:t>Λειτουργία του Πληροφοριακού Συστήματος Σώρευσης Ενισχύσεων Ήσσονος σημασίας (ΠΣΣΕΗΣ)</w:t>
      </w:r>
    </w:p>
    <w:p>
      <w:pPr>
        <w:pStyle w:val="PreambelText"/>
        <w:spacing w:before="240" w:after="240"/>
        <w:rPr>
          <w:lang w:val="el" w:eastAsia="el"/>
        </w:rPr>
      </w:pPr>
      <w:r>
        <w:rPr>
          <w:b/>
          <w:bCs/>
          <w:lang w:val="el" w:eastAsia="el"/>
        </w:rPr>
        <w:t>Αριθμ. 59886/ΕΥΚΕ913/2020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2417/18-06-2020)</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1 του άρθρου 107 της Συνθήκης για την Λειτουργία της Ευρωπαϊκής Ένωσης (ΣΛΕΕ),</w:t>
      </w:r>
    </w:p>
    <w:p>
      <w:pPr>
        <w:pStyle w:val="PreambelText"/>
        <w:spacing w:before="240" w:after="240"/>
        <w:rPr>
          <w:lang w:val="el" w:eastAsia="el"/>
        </w:rPr>
      </w:pPr>
      <w:r>
        <w:rPr>
          <w:lang w:val="el" w:eastAsia="el"/>
        </w:rPr>
        <w:t>2. τους Κανονισμούς (ΕΕ) της Επιτροπής: α) 2013/1407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β) 2013/1408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γ) 2014/717 της 27ης Ιουλίου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και δ) 2012/360 της 25ης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4. Το π.δ. 147/2017 «Οργανισμός του Υπουργείου Οικονομίας και Ανάπτυξης» (Α’ 192).</w:t>
      </w:r>
    </w:p>
    <w:p>
      <w:pPr>
        <w:pStyle w:val="PreambelText"/>
        <w:spacing w:before="240" w:after="240"/>
        <w:rPr>
          <w:lang w:val="el" w:eastAsia="el"/>
        </w:rPr>
      </w:pPr>
      <w:r>
        <w:rPr>
          <w:lang w:val="el" w:eastAsia="el"/>
        </w:rPr>
        <w:t>5.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Το άρθρο 2 του ν. 2212/1952 (Α’266), την παρ. 5 του άρθρου 3 του ν.δ. 2957/1954 (Α’ 486) και τα άρθρα 1 και 5 του ν.δ. 4355/1964 (Α’ 146).</w:t>
      </w:r>
    </w:p>
    <w:p>
      <w:pPr>
        <w:pStyle w:val="PreambelText"/>
        <w:spacing w:before="240" w:after="240"/>
        <w:rPr>
          <w:lang w:val="el" w:eastAsia="el"/>
        </w:rPr>
      </w:pPr>
      <w:r>
        <w:rPr>
          <w:lang w:val="el" w:eastAsia="el"/>
        </w:rPr>
        <w:t>8.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9.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10. Το άρθρο 57Α του ν. 4314/2014 «Α) Για τη διαχείριση, τον έλεγχο και την εφαρμογή αναπτυξιακών παρεμβάσεων για την προγραμματική περίοδο 2014 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w:t>
      </w:r>
    </w:p>
    <w:p>
      <w:pPr>
        <w:pStyle w:val="PreambelText"/>
        <w:spacing w:before="240" w:after="240"/>
        <w:rPr>
          <w:lang w:val="el" w:eastAsia="el"/>
        </w:rPr>
      </w:pPr>
      <w:r>
        <w:rPr>
          <w:lang w:val="el" w:eastAsia="el"/>
        </w:rPr>
        <w:t>11. Την παρ. Β’ του άρθρου 1 του ν. 4152/2013 (Α’ 107) και ιδίως την υποπαρ. Β.8.,</w:t>
      </w:r>
    </w:p>
    <w:p>
      <w:pPr>
        <w:pStyle w:val="PreambelText"/>
        <w:spacing w:before="240" w:after="240"/>
        <w:rPr>
          <w:lang w:val="el" w:eastAsia="el"/>
        </w:rPr>
      </w:pPr>
      <w:r>
        <w:rPr>
          <w:lang w:val="el" w:eastAsia="el"/>
        </w:rPr>
        <w:t>12. Την υπ’ αρ. 69135/ΕΥΘΥ626/22.6.2015 απόφαση του Υπουργού Οικονομίας, Υποδομών, Ναυτιλίας και Τουρισμού για τη «Διάρθρωση της Ειδικής Υπηρεσίας Κρατικών Ενισχύσεων, του άρθρου 15 παρ. 5 του ν. 4314/2014» (Β’1451), όπως τροποποιήθηκε με την υπ’ αρ. 112010/ΕΥΘΥ 1047/2.11.2015 του Υφυπουργού Οικονομίας, Ανάπτυξης και Τουρισμού (Β’2473) και ισχύει.</w:t>
      </w:r>
    </w:p>
    <w:p>
      <w:pPr>
        <w:pStyle w:val="PreambelText"/>
        <w:spacing w:before="240" w:after="240"/>
        <w:rPr>
          <w:lang w:val="el" w:eastAsia="el"/>
        </w:rPr>
      </w:pPr>
      <w:r>
        <w:rPr>
          <w:lang w:val="el" w:eastAsia="el"/>
        </w:rPr>
        <w:t>13. Το γεγονός ότι η παρούσα απόφαση δεν προκαλεί δαπάνη επί του Κρατικού Προϋπολογισμού.</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Με την παρούσα απόφαση ρυθμίζονται οι διαδικασίες οι οποίες αφορούν στη λειτουργία του Πληροφοριακού Συστήματος Σώρευσης Ενισχύσεων Ήσσονος Σημασίας (αναφερόμενο στην παρούσα ως ΠΣΣΕΗΣ από τούδε και στο εξής).</w:t>
      </w:r>
    </w:p>
    <w:p>
      <w:pPr>
        <w:pStyle w:val="MainText"/>
        <w:spacing w:before="120" w:after="0"/>
        <w:rPr>
          <w:lang w:val="el" w:eastAsia="el"/>
        </w:rPr>
      </w:pPr>
      <w:r>
        <w:rPr>
          <w:b/>
          <w:bCs/>
          <w:lang w:val="el" w:eastAsia="el"/>
        </w:rPr>
        <w:t>2.</w:t>
      </w:r>
      <w:r>
        <w:rPr>
          <w:lang w:val="el" w:eastAsia="el"/>
        </w:rPr>
        <w:t xml:space="preserve"> Σκοπός της λειτουργίας του ΠΣΣΕΗΣ είναι ο έλεγχος των ορίων σώρευσης, όπως αυτά προσδιορίζονται στους κανονισμούς σχετικά με τις ενισχύσεις ήσσονος σημασίας (κανονισμοί de minimis), προκειμένου να διασφαλίζεται ότι δεν υπάρχει υπέρβαση των τιθεμένων ορίων. Στο ΠΣΣΕΗΣ καταχωρίζονται τα απαιτούμενα για τον υπολογισμό του συνολικού ποσού των ενισχύσεων ήσσονος σημασίας δεδομένα τα οποία χορηγούνται σε μία ενιαία επιχείρηση.</w:t>
      </w:r>
    </w:p>
    <w:p>
      <w:pPr>
        <w:pStyle w:val="MainText"/>
        <w:spacing w:before="120" w:after="0"/>
        <w:rPr>
          <w:lang w:val="el" w:eastAsia="el"/>
        </w:rPr>
      </w:pPr>
      <w:r>
        <w:rPr>
          <w:b/>
          <w:bCs/>
          <w:lang w:val="el" w:eastAsia="el"/>
        </w:rPr>
        <w:t>3.</w:t>
      </w:r>
      <w:r>
        <w:rPr>
          <w:lang w:val="el" w:eastAsia="el"/>
        </w:rPr>
        <w:t xml:space="preserve"> Οι διατάξεις της παρούσας αφορούν στο σύνολο των ενισχύσεων ήσσονος σημασίας που χορηγούνται σε εθνικό, περιφερειακό ή τοπικό επίπεδο, ανεξαρτήτως της πηγής χρηματοδότησης, εθνικής ή κοινοτικής.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εφαρμογής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Κανονισμοί Ενισχύσεων ήσσονος σημασίας (de minimis): Οι Κανονισμοί (ΕΕ) της Επιτροπής: α) 2013/1407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β) 2013/1408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γ) 2014/717 της 27ης Ιουλίου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δ) 2012/360 της 25ης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w:t>
      </w:r>
    </w:p>
    <w:p>
      <w:pPr>
        <w:pStyle w:val="MainText"/>
        <w:spacing w:before="120" w:after="0"/>
        <w:rPr>
          <w:lang w:val="el" w:eastAsia="el"/>
        </w:rPr>
      </w:pPr>
      <w:r>
        <w:rPr>
          <w:b/>
          <w:bCs/>
          <w:lang w:val="el" w:eastAsia="el"/>
        </w:rPr>
        <w:t>2.</w:t>
      </w:r>
      <w:r>
        <w:rPr>
          <w:lang w:val="el" w:eastAsia="el"/>
        </w:rPr>
        <w:t xml:space="preserve"> Ενίσχυση ήσσονος σημασίας (de minimis): η ενίσχυση που χορηγείται βάσει των κανονισμών Ήσσονος Σημασίας.</w:t>
      </w:r>
    </w:p>
    <w:p>
      <w:pPr>
        <w:pStyle w:val="MainText"/>
        <w:spacing w:before="120" w:after="0"/>
        <w:rPr>
          <w:lang w:val="el" w:eastAsia="el"/>
        </w:rPr>
      </w:pPr>
      <w:r>
        <w:rPr>
          <w:b/>
          <w:bCs/>
          <w:lang w:val="el" w:eastAsia="el"/>
        </w:rPr>
        <w:t>3.</w:t>
      </w:r>
      <w:r>
        <w:rPr>
          <w:lang w:val="el" w:eastAsia="el"/>
        </w:rPr>
        <w:t xml:space="preserve"> Έλεγχος σώρευσης ενισχύσεων de minimis: Επιχειρησιακός έλεγχος, σύμφωνα με τον οικείο κανονισμό Ήσσονος Σημασίας για την αποφυγή υπέρβασης του ορίου χρηματοδότησης, λαμβάνοντας υπόψη όλες τις ενισχύσεις Ήσσονος Σημασίας που έχει λάβει η επιχείρηση.</w:t>
      </w:r>
    </w:p>
    <w:p>
      <w:pPr>
        <w:pStyle w:val="MainText"/>
        <w:spacing w:before="120" w:after="0"/>
        <w:rPr>
          <w:lang w:val="el" w:eastAsia="el"/>
        </w:rPr>
      </w:pPr>
      <w:r>
        <w:rPr>
          <w:b/>
          <w:bCs/>
          <w:lang w:val="el" w:eastAsia="el"/>
        </w:rPr>
        <w:t>4.</w:t>
      </w:r>
      <w:r>
        <w:rPr>
          <w:lang w:val="el" w:eastAsia="el"/>
        </w:rPr>
        <w:t xml:space="preserve"> Ενιαία επιχείρηση: 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5.</w:t>
      </w:r>
      <w:r>
        <w:rPr>
          <w:lang w:val="el" w:eastAsia="el"/>
        </w:rPr>
        <w:t xml:space="preserve"> Πληροφοριακό Σύστημα Σώρευσης Ενισχύσεων Ήσσονος Σημασίας (ΠΣΣΕΗΣ): Πληροφοριακό σύστημα που αναπτύσσει και διαχειρίζεται η Γενική Γραμματεία Δημοσίων Επενδύσεων και ΕΣΠΑ, στο οποίο καταχωρίζονται τα δεδομένα που απαιτούνται για να ελέγχονται οι κανόνες σώρευσης που προσδιορίζονται στους Κανονισμούς Ενισχύσεων Ήσσονος σημασίας (EE).</w:t>
      </w:r>
    </w:p>
    <w:p>
      <w:pPr>
        <w:pStyle w:val="MainText"/>
        <w:spacing w:before="120" w:after="0"/>
        <w:rPr>
          <w:lang w:val="el" w:eastAsia="el"/>
        </w:rPr>
      </w:pPr>
      <w:r>
        <w:rPr>
          <w:b/>
          <w:bCs/>
          <w:lang w:val="el" w:eastAsia="el"/>
        </w:rPr>
        <w:t>6.</w:t>
      </w:r>
      <w:r>
        <w:rPr>
          <w:lang w:val="el" w:eastAsia="el"/>
        </w:rPr>
        <w:t xml:space="preserve"> Διαλειτουργικότητα (Interoperability): Ορίζεται η ικανότητα ενός πληροφοριακού συστήματος να επικοινωνεί με το εξωτερικό περιβάλλον του, προκειμένου αρχικά να ανταλλάξει και στη συνέχεια να επεξεργαστεί πληροφορίες που γίνονται με τον ίδιο τρόπο κατανοητές από όλα τα μέρη, τόσο από το πληροφοριακό σύστημα, όσο και από τα εξωτερικά πληροφοριακά συστήματα.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Υπεύθυνοι λειτουργίας - Φορείς με πρόσβαση στο ΠΣΣΕΗΣ</w:t>
      </w:r>
    </w:p>
    <w:p>
      <w:pPr>
        <w:pStyle w:val="MainText"/>
        <w:spacing w:before="120" w:after="0"/>
        <w:rPr>
          <w:lang w:val="el" w:eastAsia="el"/>
        </w:rPr>
      </w:pPr>
      <w:r>
        <w:rPr>
          <w:b/>
          <w:bCs/>
          <w:lang w:val="el" w:eastAsia="el"/>
        </w:rPr>
        <w:t>1.</w:t>
      </w:r>
      <w:r>
        <w:rPr>
          <w:lang w:val="el" w:eastAsia="el"/>
        </w:rPr>
        <w:t xml:space="preserve"> Η Ειδική Υπηρεσία Κρατικών Ενισχύσεων (ΕΥΚΕ), η οποία αποτελεί Υπηρεσία της Εθνικής Αρχής Συντονισμού για το ΕΣΠΑ της Γενικής Γραμματείας Δημοσίων Επενδύσεων και ΕΣΠΑ, σύμφωνα με τον ν. 4314/2014 όπως ισχύει, ορίζεται ως η αρμόδια Υπηρεσία για την επιχειρησιακή λειτουργία του ΠΣΣΕΗΣ.</w:t>
      </w:r>
    </w:p>
    <w:p>
      <w:pPr>
        <w:pStyle w:val="MainText"/>
        <w:spacing w:before="120" w:after="0"/>
        <w:rPr>
          <w:lang w:val="el" w:eastAsia="el"/>
        </w:rPr>
      </w:pPr>
      <w:r>
        <w:rPr>
          <w:b/>
          <w:bCs/>
          <w:lang w:val="el" w:eastAsia="el"/>
        </w:rPr>
        <w:t>2.</w:t>
      </w:r>
      <w:r>
        <w:rPr>
          <w:lang w:val="el" w:eastAsia="el"/>
        </w:rPr>
        <w:t xml:space="preserve"> Η Κεντρική Μονάδα Κρατικών Ενισχύσεων (ΚΕΜΚΕ), η οποία αποτελεί Υπηρεσία της Γενικής Γραμματείας Οικονομικής Πολιτικής του Υπουργείου Οικονομικών, η οποία σύμφωνα με τον ν. 4152/2013 είναι η αρμόδια Υπηρεσία για τον συντονισμό των φορέων που χορηγούν κρατικές ενισχύσεις, καθώς και για την τήρηση του Κεντρικού Πληροφοριακού Συστήματος Κρατικών Ενισχύσεων (ΚΠΣΚΕ), με το οποίο διασυνδέεται το ΠΣΣΕΗΣ.</w:t>
      </w:r>
    </w:p>
    <w:p>
      <w:pPr>
        <w:pStyle w:val="MainText"/>
        <w:spacing w:before="120" w:after="0"/>
        <w:rPr>
          <w:lang w:val="el" w:eastAsia="el"/>
        </w:rPr>
      </w:pPr>
      <w:r>
        <w:rPr>
          <w:b/>
          <w:bCs/>
          <w:lang w:val="el" w:eastAsia="el"/>
        </w:rPr>
        <w:t>3.</w:t>
      </w:r>
      <w:r>
        <w:rPr>
          <w:lang w:val="el" w:eastAsia="el"/>
        </w:rPr>
        <w:t xml:space="preserve"> Η Μονάδα Οργάνωσης της Διαχείρισης Αναπτυξιακών Προγραμμάτων (ΜΟΔ Α.Ε.), Ανώνυμη μη κερδοσκοπική εταιρεία του ευρύτερου δημόσιου τομέα υπό την εποπτεία του Υπουργού Ανάπτυξης και Επενδύσεων, στο κέντρο δεδομένων της οποίας φιλοξενείται το λογισμικό και το υλισμικό του ΠΣΣΕΗΣ.</w:t>
      </w:r>
    </w:p>
    <w:p>
      <w:pPr>
        <w:pStyle w:val="MainText"/>
        <w:spacing w:before="120" w:after="0"/>
        <w:rPr>
          <w:lang w:val="el" w:eastAsia="el"/>
        </w:rPr>
      </w:pPr>
      <w:r>
        <w:rPr>
          <w:b/>
          <w:bCs/>
          <w:lang w:val="el" w:eastAsia="el"/>
        </w:rPr>
        <w:t>4.</w:t>
      </w:r>
      <w:r>
        <w:rPr>
          <w:lang w:val="el" w:eastAsia="el"/>
        </w:rPr>
        <w:t xml:space="preserve"> Φορέας χορήγησης. Κάθε φορέας του δημόσιου ή του ιδιωτικού τομέα που εκδίδει εγκριτικές αποφάσεις για τη χορήγηση ενισχύσεων έχει υποχρέωση καταχώρισης και δικαίωμα πρόσβασης στο ΠΣΣΕΗΣ για τους σκοπούς εφαρμογής της παρούσας. Ως φορείς χορήγησης ενισχύσεων ήσσονος σημασίας ορίζονται οι δομές του δημοσίου και ιδιωτικού τομέα που σχεδιάζουν και διαχειρίζονται δράσεις κρατικών ενισχύσεων. Είναι υπεύθυνοι για τη σύνταξη και δημοσίευση των προκηρύξεων κρατικών ενισχύσεων, καθώς και τη διαχείριση των επενδυτικών σχεδίων.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Χρήστες Πρόσβαση στο ΠΣΣΕΗΣ</w:t>
      </w:r>
    </w:p>
    <w:p>
      <w:pPr>
        <w:spacing w:before="240" w:after="240"/>
        <w:rPr>
          <w:lang w:val="el" w:eastAsia="el"/>
        </w:rPr>
      </w:pPr>
      <w:r>
        <w:rPr>
          <w:lang w:val="el" w:eastAsia="el"/>
        </w:rPr>
        <w:t>Στο ΠΣΣΕΗΣ ορίζονται οι εξής κατηγορίες ρόλων για πρόσβαση:</w:t>
      </w:r>
    </w:p>
    <w:p>
      <w:pPr>
        <w:pStyle w:val="MainText"/>
        <w:spacing w:before="120" w:after="0"/>
        <w:rPr>
          <w:lang w:val="el" w:eastAsia="el"/>
        </w:rPr>
      </w:pPr>
      <w:r>
        <w:rPr>
          <w:b/>
          <w:bCs/>
          <w:lang w:val="el" w:eastAsia="el"/>
        </w:rPr>
        <w:t>1.</w:t>
      </w:r>
      <w:r>
        <w:rPr>
          <w:lang w:val="el" w:eastAsia="el"/>
        </w:rPr>
        <w:t xml:space="preserve"> Ρόλος Διαχειριστή εξυπηρετητών (Server Administrator), με αρμοδιότητα τη διασφάλιση της ομαλής λειτουργίας των εξυπηρετητών (servers) του συστήματος, δηλαδή των φυσικών μέσων (μηχανημάτων και των δικτύων) που συνθέτουν το πληροφοριακό σύστημα.</w:t>
      </w:r>
    </w:p>
    <w:p>
      <w:pPr>
        <w:pStyle w:val="MainText"/>
        <w:spacing w:before="120" w:after="0"/>
        <w:rPr>
          <w:lang w:val="el" w:eastAsia="el"/>
        </w:rPr>
      </w:pPr>
      <w:r>
        <w:rPr>
          <w:b/>
          <w:bCs/>
          <w:lang w:val="el" w:eastAsia="el"/>
        </w:rPr>
        <w:t>2.</w:t>
      </w:r>
      <w:r>
        <w:rPr>
          <w:lang w:val="el" w:eastAsia="el"/>
        </w:rPr>
        <w:t xml:space="preserve"> Ρόλος Διαχειριστή βάσης δεδομένων (Database Administrator) με αρμοδιότητες τη διασφάλιση της ομαλής λειτουργίας της βάσης δεδομένων, καθώς και της ακεραιότητας, εγκυρότητας, και ασφάλειας των δεδομένων που καταγράφουν οι χρήστες.</w:t>
      </w:r>
    </w:p>
    <w:p>
      <w:pPr>
        <w:pStyle w:val="MainText"/>
        <w:spacing w:before="120" w:after="0"/>
        <w:rPr>
          <w:lang w:val="el" w:eastAsia="el"/>
        </w:rPr>
      </w:pPr>
      <w:r>
        <w:rPr>
          <w:b/>
          <w:bCs/>
          <w:lang w:val="el" w:eastAsia="el"/>
        </w:rPr>
        <w:t>3.</w:t>
      </w:r>
      <w:r>
        <w:rPr>
          <w:lang w:val="el" w:eastAsia="el"/>
        </w:rPr>
        <w:t xml:space="preserve"> Ρόλος Κεντρικού Διαχειριστή (Super User) του ΠΣΣΕΗΣ με αρμοδιότητες την κεντρική ευθύνη διαχείρισης των δεδομένων, την ευθύνη ενημέρωσης των παραμετρικών στοιχείων του ΠΣΣΕΗΣ, την επίλυση ενδεχόμενων επιχειρησιακών προβλημάτων, τη δημιουργία και διαχείριση των χρηστών στο σύστημα, τη δημιουργία αναφορών.</w:t>
      </w:r>
    </w:p>
    <w:p>
      <w:pPr>
        <w:pStyle w:val="MainText"/>
        <w:spacing w:before="120" w:after="0"/>
        <w:rPr>
          <w:lang w:val="el" w:eastAsia="el"/>
        </w:rPr>
      </w:pPr>
      <w:r>
        <w:rPr>
          <w:b/>
          <w:bCs/>
          <w:lang w:val="el" w:eastAsia="el"/>
        </w:rPr>
        <w:t>4.</w:t>
      </w:r>
      <w:r>
        <w:rPr>
          <w:lang w:val="el" w:eastAsia="el"/>
        </w:rPr>
        <w:t xml:space="preserve"> Ρόλος Φορέα Πρόσκλησης με αρμοδιότητα τη συμπλήρωση των στοιχείων της πρόσκλησης στο ΠΣΣΕΗΣ.</w:t>
      </w:r>
    </w:p>
    <w:p>
      <w:pPr>
        <w:pStyle w:val="MainText"/>
        <w:spacing w:before="120" w:after="0"/>
        <w:rPr>
          <w:lang w:val="el" w:eastAsia="el"/>
        </w:rPr>
      </w:pPr>
      <w:r>
        <w:rPr>
          <w:b/>
          <w:bCs/>
          <w:lang w:val="el" w:eastAsia="el"/>
        </w:rPr>
        <w:t>5.</w:t>
      </w:r>
      <w:r>
        <w:rPr>
          <w:lang w:val="el" w:eastAsia="el"/>
        </w:rPr>
        <w:t xml:space="preserve"> Ρόλος Επιχειρησιακού Χρήστη με αρμοδιότητες την συμπλήρωση των στοιχείων των ενισχύσεων που αφορούν συγκεκριμένη πρόσκληση.</w:t>
      </w:r>
    </w:p>
    <w:p>
      <w:pPr>
        <w:pStyle w:val="MainText"/>
        <w:spacing w:before="120" w:after="0"/>
        <w:rPr>
          <w:lang w:val="el" w:eastAsia="el"/>
        </w:rPr>
      </w:pPr>
      <w:r>
        <w:rPr>
          <w:b/>
          <w:bCs/>
          <w:lang w:val="el" w:eastAsia="el"/>
        </w:rPr>
        <w:t>6.</w:t>
      </w:r>
      <w:r>
        <w:rPr>
          <w:lang w:val="el" w:eastAsia="el"/>
        </w:rPr>
        <w:t xml:space="preserve"> Ρόλος για ανάγνωση στοιχείων. Πρόσβαση στο ΠΣΣΕΗΣ με ρόλο για ανάγνωση στοιχείων έχουν, μεταξύ των άλλων, Ελεγκτικοί Φορείς της Δημόσιας Διοίκησης και της Ευρωπαϊκής Ένωσης.</w:t>
      </w:r>
    </w:p>
    <w:p>
      <w:pPr>
        <w:spacing w:before="240" w:after="240"/>
        <w:rPr>
          <w:lang w:val="el" w:eastAsia="el"/>
        </w:rPr>
      </w:pPr>
      <w:r>
        <w:rPr>
          <w:lang w:val="el" w:eastAsia="el"/>
        </w:rPr>
        <w:t>Η πρόσβαση των χρηστών και η σχετική απόδοση ρόλων αποκτάται με την απόδοση κωδικού, ^τά την συμπλήρωση ηλεκτρονικής αίτησης στο ΠΣΣΕΗΣ και έγκρισης από την ΕΥΚΕ.</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ενημέρωσης του ΠΣΣΕΗΣ</w:t>
      </w:r>
    </w:p>
    <w:p>
      <w:pPr>
        <w:spacing w:before="240" w:after="240"/>
        <w:rPr>
          <w:lang w:val="el" w:eastAsia="el"/>
        </w:rPr>
      </w:pPr>
      <w:r>
        <w:rPr>
          <w:lang w:val="el" w:eastAsia="el"/>
        </w:rPr>
        <w:t>Οι φορείς που χορηγούν ενισχύσεις Ήσσονος Σημασίας υποχρεούνται να εισάγουν ένα σύνολο στοιχείων στο ΠΣΣΕΗΣ, απαραίτητο για να αναγνωριστεί μοναδικά η ενιαία επιχείρηση και η ενίσχυση, καθώς η χρήση του είναι υποχρεωτική για το σύνολο των φορέων ίου τις χορηγούν, ανεξαρτήτως της πηγής χρηματοδότησης, σύμφωνα με το άρθρο 57Α του ν. 4314/2014. Οι επιχειρησιακές απαιτήσεις των κανονισμών Ήσσονος Σημασίας αποτυπώνονται στο ΠΣΣΕΗΣ μέσω τυποποιημένων πεδίων τα οποία ορίζονται με πράξη της ΕΥΚΕ κατόπιν συνεργασίας με την ΚΕΜΚΕ.</w:t>
      </w:r>
    </w:p>
    <w:p>
      <w:pPr>
        <w:spacing w:before="240" w:after="240"/>
        <w:rPr>
          <w:lang w:val="el" w:eastAsia="el"/>
        </w:rPr>
      </w:pPr>
      <w:r>
        <w:rPr>
          <w:lang w:val="el" w:eastAsia="el"/>
        </w:rPr>
        <w:t>Τα στοιχεία για τις χορηγηθείσες ενισχύσεις Ήσσονος Σημασίας καταχωρίζονται στο ΠΣΣΕΗΣ από τον φορέα χορήγησης τους αμελλητί και σε κάθε περίπτωση εντός δέκα (10) εργάσιμων ημερών από την ημερομηνία χορήγησης του έννομου δικαιώματος της ενίσχυσης.</w:t>
      </w:r>
    </w:p>
    <w:p>
      <w:pPr>
        <w:spacing w:before="240" w:after="240"/>
        <w:rPr>
          <w:lang w:val="el" w:eastAsia="el"/>
        </w:rPr>
      </w:pPr>
      <w:r>
        <w:rPr>
          <w:lang w:val="el" w:eastAsia="el"/>
        </w:rPr>
        <w:t>Η διαδικασία νέας καταχώρισης/ενημέρωσης του ΠΣΣΕΗΣ προϋποθέτει τον εκ των προτέρων έλεγχο για τη μη υπέρβαση των ορίων σώρευσης ανά κανονισμό, από τον φορέα χορήγησης με βάση τις καταχωρίσεις που έχουν γίνει στο ΠΣΣΕΗΣ , δηλαδή πριν την έγκριση χορήγησης ενίσχυσης ενός επενδυτικού σχεδίου.</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Τα βήματα χρήσης του ΠΣΣΕΗΣ περιλαμβάνουν τα ακόλουθα:</w:t>
      </w:r>
    </w:p>
    <w:p>
      <w:pPr>
        <w:pStyle w:val="MainText"/>
        <w:spacing w:before="120" w:after="0"/>
        <w:rPr>
          <w:lang w:val="el" w:eastAsia="el"/>
        </w:rPr>
      </w:pPr>
      <w:r>
        <w:rPr>
          <w:b/>
          <w:bCs/>
          <w:lang w:val="el" w:eastAsia="el"/>
        </w:rPr>
        <w:t>1.</w:t>
      </w:r>
      <w:r>
        <w:rPr>
          <w:lang w:val="el" w:eastAsia="el"/>
        </w:rPr>
        <w:t xml:space="preserve"> Τον έλεγχο σώρευσης πριν την χορήγηση ενίσχυσης από τον Φορέα χορήγησης ενίσχυσης ήσσονος σημασίας που διενεργείται από τον πιστοποιημένο χρήστη του Φορέα χορήγησης μέσω του ΠΣΣΕΗΣ και αφορά στη συλλογή πληροφοριών από το ΠΣΣΕΗΣ, σχετικά με ενδεχόμενες ενισχύσεις ήσσονος σημασίας που έχει λάβει η υπό εξέταση επιχείρηση και στην εξέταση της μη υπέρβασης των ορίων των σχετικών Κανονισμών. Ο εν λόγω έλεγχος πραγματοποιείται σε επίπεδο «ενιαίας επιχείρησης» όπως αυτή ορίζεται στους σχετικούς Κανονισμούς.</w:t>
      </w:r>
    </w:p>
    <w:p>
      <w:pPr>
        <w:pStyle w:val="MainText"/>
        <w:spacing w:before="120" w:after="0"/>
        <w:rPr>
          <w:lang w:val="el" w:eastAsia="el"/>
        </w:rPr>
      </w:pPr>
      <w:r>
        <w:rPr>
          <w:b/>
          <w:bCs/>
          <w:lang w:val="el" w:eastAsia="el"/>
        </w:rPr>
        <w:t>2.</w:t>
      </w:r>
      <w:r>
        <w:rPr>
          <w:lang w:val="el" w:eastAsia="el"/>
        </w:rPr>
        <w:t xml:space="preserve"> Την εισαγωγή εγκεκριμένης ενίσχυσης, από τον Φορέα χορήγησης στο ΠΣΣΕΗΣ. Κατά την εισαγωγή μία νέας ενίσχυσης, το ΠΣΣΕΗΣ επιστρέφει στον Φορέα χορήγησης έναν Μοναδικό Αριθμό Σώρευσης (ΜΑΣ) για αυτό.</w:t>
      </w:r>
    </w:p>
    <w:p>
      <w:pPr>
        <w:pStyle w:val="MainText"/>
        <w:spacing w:before="120" w:after="0"/>
        <w:rPr>
          <w:lang w:val="el" w:eastAsia="el"/>
        </w:rPr>
      </w:pPr>
      <w:r>
        <w:rPr>
          <w:b/>
          <w:bCs/>
          <w:lang w:val="el" w:eastAsia="el"/>
        </w:rPr>
        <w:t>3.</w:t>
      </w:r>
      <w:r>
        <w:rPr>
          <w:lang w:val="el" w:eastAsia="el"/>
        </w:rPr>
        <w:t xml:space="preserve"> Την επικαιροποίηση του ποσού σώρευσης, η οποία πραγματοποιείται από τον Φορέα  παρακολούθησης του μέτρου ενίσχυσης ήσσονος σημασίας με τη χρήση του ΜΑΔ σε όλα τα στάδια εξέλιξης της ενίσχυσης (τροποποίηση, ολοκλήρωση), ώστε να αποτυπώνεται κάθε φορά η τρέχουσα κατάσταση του ύψους επένδυσης και να αποτρέπεται η πιθανότητα παραβίασης των κανόνων σώρευσης.</w:t>
      </w:r>
    </w:p>
    <w:p>
      <w:pPr>
        <w:spacing w:before="240" w:after="240"/>
        <w:rPr>
          <w:lang w:val="el" w:eastAsia="el"/>
        </w:rPr>
      </w:pPr>
      <w:r>
        <w:rPr>
          <w:lang w:val="el" w:eastAsia="el"/>
        </w:rPr>
        <w:t>Η ενημέρωση του ΠΣΣΕΗΣ πραγματοποιείται με τρεις τρόπους:</w:t>
      </w:r>
    </w:p>
    <w:p>
      <w:pPr>
        <w:pStyle w:val="StructureList1"/>
        <w:spacing w:before="120" w:after="0"/>
        <w:rPr>
          <w:lang w:val="el" w:eastAsia="el"/>
        </w:rPr>
      </w:pPr>
      <w:r>
        <w:rPr>
          <w:lang w:val="el" w:eastAsia="el"/>
        </w:rPr>
        <w:t>α)</w:t>
      </w:r>
      <w:r>
        <w:rPr>
          <w:lang w:val="en" w:eastAsia="en"/>
        </w:rPr>
        <w:tab/>
      </w:r>
      <w:r>
        <w:rPr>
          <w:lang w:val="el" w:eastAsia="el"/>
        </w:rPr>
        <w:t>Μέσω προτυποποιημένων φορμών του συστήματος, στις οποίες οι φορείς χορήγησης συμπληρώνουν τα προτυποποιημένα πεδία για κάθε ενίσχυση.</w:t>
      </w:r>
    </w:p>
    <w:p>
      <w:pPr>
        <w:pStyle w:val="StructureList1"/>
        <w:spacing w:before="120" w:after="0"/>
        <w:rPr>
          <w:lang w:val="el" w:eastAsia="el"/>
        </w:rPr>
      </w:pPr>
      <w:r>
        <w:rPr>
          <w:lang w:val="el" w:eastAsia="el"/>
        </w:rPr>
        <w:t>β)</w:t>
      </w:r>
      <w:r>
        <w:rPr>
          <w:lang w:val="en" w:eastAsia="en"/>
        </w:rPr>
        <w:tab/>
      </w:r>
      <w:r>
        <w:rPr>
          <w:lang w:val="el" w:eastAsia="el"/>
        </w:rPr>
        <w:t>Μέσω υπηρεσιών διαλειτουργικότητας (web services) κατά την οποία τα πληροφοριακά συστήματα των φορέων χορήγησης συνδέονται διαδικτυακά και επικοινωνούν την σχετική πληροφορία.</w:t>
      </w:r>
    </w:p>
    <w:p>
      <w:pPr>
        <w:pStyle w:val="StructureList1"/>
        <w:spacing w:before="120" w:after="0"/>
        <w:rPr>
          <w:lang w:val="el" w:eastAsia="el"/>
        </w:rPr>
      </w:pPr>
      <w:r>
        <w:rPr>
          <w:lang w:val="el" w:eastAsia="el"/>
        </w:rPr>
        <w:t>γ)</w:t>
      </w:r>
      <w:r>
        <w:rPr>
          <w:lang w:val="en" w:eastAsia="en"/>
        </w:rPr>
        <w:tab/>
      </w:r>
      <w:r>
        <w:rPr>
          <w:lang w:val="el" w:eastAsia="el"/>
        </w:rPr>
        <w:t>Μέσω διαδικασίας μαζικής μεταφόρτωσης κατά την οποία οι φορείς χορήγησης μεταφορτώνουν προτυποποιημένα αρχεία στο ΠΣΣΕΗΣ.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Αθήνα, 11 Ιουνίου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w:t>
      </w:r>
    </w:p>
    <w:p>
      <w:pPr>
        <w:spacing w:before="240" w:after="240"/>
        <w:rPr>
          <w:lang w:val="el" w:eastAsia="el"/>
        </w:rPr>
      </w:pPr>
      <w:r>
        <w:rPr>
          <w:lang w:val="el" w:eastAsia="el"/>
        </w:rPr>
        <w:t xml:space="preserve">Οικονομικών </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ΦΕΚ 3968 17.09.2020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