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ΚΑΙ ΕΦΚ ΔΙΕΥΘΥΝΣΗ ΕΙΔΙΚΩΝ ΦΟΡΩΝ ΚΑΤΑΝΑΛΩΣΗΣ</w:t>
      </w:r>
    </w:p>
    <w:p>
      <w:pPr>
        <w:pStyle w:val="PreambelText"/>
        <w:spacing w:before="240" w:after="240"/>
        <w:rPr>
          <w:lang w:val="el" w:eastAsia="el"/>
        </w:rPr>
      </w:pPr>
      <w:r>
        <w:rPr>
          <w:b/>
          <w:bCs/>
          <w:lang w:val="el" w:eastAsia="el"/>
        </w:rPr>
        <w:t>&amp;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Φορολογίας Αυτοκινήτων οχημάτων και Λοιπών φορολογιών</w:t>
      </w:r>
    </w:p>
    <w:p>
      <w:pPr>
        <w:spacing w:before="240" w:after="240"/>
        <w:rPr>
          <w:lang w:val="el" w:eastAsia="el"/>
        </w:rPr>
      </w:pPr>
      <w:r>
        <w:rPr>
          <w:b/>
          <w:bCs/>
          <w:lang w:val="el" w:eastAsia="el"/>
        </w:rPr>
        <w:t>ΑΔΑ:ΩΙ8246ΜΠ3Ζ-Χ3Ι</w:t>
      </w:r>
    </w:p>
    <w:p>
      <w:pPr>
        <w:spacing w:before="240" w:after="240"/>
        <w:rPr>
          <w:lang w:val="el" w:eastAsia="el"/>
        </w:rPr>
      </w:pPr>
      <w:r>
        <w:rPr>
          <w:b/>
          <w:bCs/>
          <w:lang w:val="el" w:eastAsia="el"/>
        </w:rPr>
        <w:t>Αριθ. ΦΕΚ:2450 Β΄19/06/2020 - 00:00</w:t>
      </w:r>
    </w:p>
    <w:p>
      <w:pPr>
        <w:spacing w:before="240" w:after="240"/>
        <w:rPr>
          <w:lang w:val="el" w:eastAsia="el"/>
        </w:rPr>
      </w:pPr>
      <w:r>
        <w:rPr>
          <w:b/>
          <w:bCs/>
          <w:lang w:val="el" w:eastAsia="el"/>
        </w:rPr>
        <w:t>Αθήνα, 12 Ιουνίου 2020</w:t>
      </w:r>
    </w:p>
    <w:p>
      <w:pPr>
        <w:spacing w:before="240" w:after="240"/>
        <w:rPr>
          <w:lang w:val="el" w:eastAsia="el"/>
        </w:rPr>
      </w:pPr>
      <w:r>
        <w:rPr>
          <w:b/>
          <w:bCs/>
          <w:lang w:val="el" w:eastAsia="el"/>
        </w:rPr>
        <w:t>Αριθ. Πρωτ.:Α.1145</w:t>
      </w:r>
    </w:p>
    <w:p>
      <w:pPr>
        <w:spacing w:before="240" w:after="240"/>
        <w:rPr>
          <w:lang w:val="el" w:eastAsia="el"/>
        </w:rPr>
      </w:pPr>
      <w:r>
        <w:rPr>
          <w:lang w:val="el" w:eastAsia="el"/>
        </w:rPr>
        <w:t>ΠΡΟΣ Ως πίνακα διανομής</w:t>
      </w:r>
    </w:p>
    <w:p>
      <w:pPr>
        <w:spacing w:before="240" w:after="240"/>
        <w:rPr>
          <w:lang w:val="el" w:eastAsia="el"/>
        </w:rPr>
      </w:pPr>
      <w:r>
        <w:rPr>
          <w:b/>
          <w:bCs/>
          <w:u w:val="single"/>
          <w:lang w:val="el" w:eastAsia="el"/>
        </w:rPr>
        <w:t>ΘΕΜΑ:</w:t>
      </w:r>
      <w:r>
        <w:rPr>
          <w:b/>
          <w:bCs/>
          <w:lang w:val="el" w:eastAsia="el"/>
        </w:rPr>
        <w:t>«Τροποποίηση της αριθμ. Α.1203/16-5-2019 (B’ 1933/29.05.2019) Απόφασης του Διοικητή της ΑΑΔΕ,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πρώτου εδαφίου της παραγράφου 4 του άρθρου 126 του ν. 2960/2001 (Α΄ 265) «Εθνικός Τελωνειακός Κώδικας» και της παραγράφου 10 του άρθρου 123 του ν. 2960/2001, όπως τροποποιήθηκε και ισχύει. β) του Κεφαλαίου Α΄ «Σύσταση Ανεξάρτητης Αρχής Δημοσίων Εσόδων» του Μέρους Πρώτου του ν.4389/2016 (Α΄94) και ειδικότερα του άρθρου 7, της παραγράφου 1 του άρθρου 14 και του άρθρου 41 αυτού.</w:t>
      </w:r>
    </w:p>
    <w:p>
      <w:pPr>
        <w:spacing w:before="240" w:after="240"/>
        <w:rPr>
          <w:lang w:val="el" w:eastAsia="el"/>
        </w:rPr>
      </w:pPr>
      <w:r>
        <w:rPr>
          <w:b/>
          <w:bCs/>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3. Την 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4.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υπ΄ αριθμ. 39/3/30.11.2017 Απόφαση του Συμβουλίου Διοίκησης της Α.Α.Δ.Ε. (Υ.Ο.Δ.Δ. 689/20.12.2017) «Ανανέωση θητείας του Διοικητή της Ανεξάρτητης Αρχής Δημοσίων Εσόδων» και την αριθμ. 5294 ΕΞ2020/17.1.2020 (Υ.Ο.Δ.Δ.27)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5. Την αριθμ. Δ19Α 5041533 ΕΞ 2013/2-12-2013 (ΦΕΚ Β΄ 3051/2-12-2013) ΑΥΟ «Καθιέρωση πληροφορικού συστήματος ICIS.net και ηλεκτρονικών συναλλαγών, σε πλήρη εφαρμογή».</w:t>
      </w:r>
    </w:p>
    <w:p>
      <w:pPr>
        <w:spacing w:before="240" w:after="240"/>
        <w:rPr>
          <w:lang w:val="el" w:eastAsia="el"/>
        </w:rPr>
      </w:pPr>
      <w:r>
        <w:rPr>
          <w:b/>
          <w:bCs/>
          <w:lang w:val="el" w:eastAsia="el"/>
        </w:rPr>
        <w:t>6. Την αριθμ. ΔΕΦΚ 5041345 ΕΞ 2013/28-11-2013 ΕΔΥΟ «Οδηγίες για τη λειτουργία του υποσυστήματος ΕΙΔΙΚΩΝ ΦΟΡΩΝ ΚΑΤΑΝΑΛΩΣΗΣ στο ICIS.net».</w:t>
      </w:r>
    </w:p>
    <w:p>
      <w:pPr>
        <w:spacing w:before="240" w:after="240"/>
        <w:rPr>
          <w:lang w:val="el" w:eastAsia="el"/>
        </w:rPr>
      </w:pPr>
      <w:r>
        <w:rPr>
          <w:b/>
          <w:bCs/>
          <w:lang w:val="el" w:eastAsia="el"/>
        </w:rPr>
        <w:t>7. Την ΔΤΔ Α 1184721 ΕΞ 2016/16-12-2016 (ΦΕΚ Β΄ 4488/30-12-2016) απόφαση Γενικού Γραμματέα Δημοσίων Εσόδων «Υποχρεωτική ηλεκτρονική υποβολή των υποστηρικτικών της διασάφησης εισαγωγής εγγράφων Τήρηση αρχείου».</w:t>
      </w:r>
    </w:p>
    <w:p>
      <w:pPr>
        <w:spacing w:before="240" w:after="240"/>
        <w:rPr>
          <w:lang w:val="el" w:eastAsia="el"/>
        </w:rPr>
      </w:pPr>
      <w:r>
        <w:rPr>
          <w:b/>
          <w:bCs/>
          <w:lang w:val="el" w:eastAsia="el"/>
        </w:rPr>
        <w:t>8. Την αριθμ.Α.1203/16-5-2019 (B’ 1933/29.05.2019)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spacing w:before="240" w:after="240"/>
        <w:rPr>
          <w:lang w:val="el" w:eastAsia="el"/>
        </w:rPr>
      </w:pPr>
      <w:r>
        <w:rPr>
          <w:b/>
          <w:bCs/>
          <w:lang w:val="el" w:eastAsia="el"/>
        </w:rPr>
        <w:t>9. Την ανάγκη παράτασης του χρονικού διαστήματος προσαρμογής των συναλλασσομένων για την ορθή δήλωση της φορολογητέας αξίας των μεταχειρισμένων επιβατικών αυτοκινήτων στα παραστατικά θέσης σε ανάλωση, με βάση τους δημοσιευθέντες από τα υπόχρεα πρόσωπα τιμοκαταλόγους με τις τιμές λιανικής πώλησης προ φόρων, καθώς και την ανάγκη παράτασης του χρονικού διαστήματος για την προσαρμογή των τελωνειακών αρχών στην αποτελεσματικότερη τήρηση της ηλεκτρονικής διαδικασίας, όπως προβλέπεται στην αρ. Α.1203/16-5-2019 Απόφαση του Διοικητή της ΑΑΔΕ.</w:t>
      </w:r>
    </w:p>
    <w:p>
      <w:pPr>
        <w:spacing w:before="240" w:after="240"/>
        <w:rPr>
          <w:lang w:val="el" w:eastAsia="el"/>
        </w:rPr>
      </w:pPr>
      <w:r>
        <w:rPr>
          <w:b/>
          <w:bCs/>
          <w:lang w:val="el" w:eastAsia="el"/>
        </w:rPr>
        <w:t>10.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Η δεύτερη παράγραφος του άρθρου 15 της αρ. Α.1203/16-5-2019 (Β΄ 1933/29.05.2019) Απόφασης του Διοικητή της ΑΑΔΕ, αντικαθίσταται ως εξής:</w:t>
      </w:r>
    </w:p>
    <w:p>
      <w:pPr>
        <w:spacing w:before="240" w:after="240"/>
        <w:rPr>
          <w:lang w:val="el" w:eastAsia="el"/>
        </w:rPr>
      </w:pPr>
      <w:r>
        <w:rPr>
          <w:b/>
          <w:bCs/>
          <w:lang w:val="el" w:eastAsia="el"/>
        </w:rPr>
        <w:t>«2. Για τον προσδιορισμό της φορολογητέας αξίας για την επιβολή του τέλους ταξινόμησης στα μεταχειρισμένα επιβατικά αυτοκίνητα για τα οποία έχει κατατεθεί και δημοσιευθεί τιμοκατάλογος και το αργότερο μέχρι 30/6/2020, δύναται να μην συμπληρώνεται από τον υπόχρεο για την υποβολή του παραστατικού θέσης σε ανάλωση, η λιανική τιμή πώλησης προ φόρων στη Δήλωση Εξοπλισμού και Αξίας του Παραρτήματος Ι και το σύνολο της φορολογητέας αξίας στο παραστατικό, όπως ορίζεται στην παράγραφο 2 του άρθρου 6 της παρούσας απόφασης.</w:t>
      </w:r>
    </w:p>
    <w:p>
      <w:pPr>
        <w:spacing w:before="240" w:after="240"/>
        <w:rPr>
          <w:lang w:val="el" w:eastAsia="el"/>
        </w:rPr>
      </w:pPr>
      <w:r>
        <w:rPr>
          <w:b/>
          <w:bCs/>
          <w:lang w:val="el" w:eastAsia="el"/>
        </w:rPr>
        <w:t>Μέχρι την ανωτέρω ημερομηνία, η προβλεπόμενη διαδικασία ανάκτησης των παραστατικών από τις αρμόδιες τελωνειακές περιφέρειες μέσω του Πληροφοριακού Συστήματος Τελωνείων ICISNET για τον προσδιορισμό/καθορισμό της αξίας, όπως αυτή ορίζεται στις διατάξεις της παραγράφου 4 του άρθρου 6, του στοιχείου β της παραγράφου 2 και του στοιχείου β της παραγράφου 4 του άρθρου 8, δεν είναι υποχρεωτική για τα τελωνεία του νομού Αττικής, τα οποία δύνανται να αποστέλλουν τα παραστατικά μετά των συνημμένων δικαιολογητικών εγγράφων στην αρμόδια Τελωνειακή Περιφέρεια για τον προσδιορισμό της φορολογητέας αξίας με κάθε πρόσφορο, κατά την κρίση τους μέσο».</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Α.Α.Δ.Ε.</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4.</w:t>
      </w:r>
      <w:r>
        <w:rPr>
          <w:b/>
          <w:bCs/>
          <w:lang w:val="el" w:eastAsia="el"/>
        </w:rPr>
        <w:t xml:space="preserve"> 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