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131/13.6.2020</w:t>
      </w:r>
    </w:p>
    <w:p>
      <w:pPr>
        <w:pStyle w:val="Title"/>
        <w:spacing w:before="120" w:after="360"/>
        <w:rPr>
          <w:lang w:val="el" w:eastAsia="el"/>
        </w:rPr>
      </w:pPr>
      <w:r>
        <w:rPr>
          <w:lang w:val="el" w:eastAsia="el"/>
        </w:rPr>
        <w:t>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w:t>
      </w:r>
    </w:p>
    <w:p>
      <w:pPr>
        <w:pStyle w:val="PreambelText"/>
        <w:spacing w:before="240" w:after="240"/>
        <w:rPr>
          <w:lang w:val="el" w:eastAsia="el"/>
        </w:rPr>
      </w:pPr>
      <w:r>
        <w:rPr>
          <w:b/>
          <w:bCs/>
          <w:lang w:val="el" w:eastAsia="el"/>
        </w:rPr>
        <w:t>Αριθμ. ΓΔΟΥ 131/2020</w:t>
      </w:r>
    </w:p>
    <w:p>
      <w:pPr>
        <w:pStyle w:val="PreambelText"/>
        <w:spacing w:before="240" w:after="240"/>
        <w:rPr>
          <w:lang w:val="el" w:eastAsia="el"/>
        </w:rPr>
      </w:pPr>
      <w:r>
        <w:rPr>
          <w:lang w:val="el" w:eastAsia="el"/>
        </w:rPr>
        <w:t>(ΦΕΚ Β' 2276/14-06-2020)</w:t>
      </w:r>
    </w:p>
    <w:p>
      <w:pPr>
        <w:pStyle w:val="PreambelText"/>
        <w:spacing w:before="240" w:after="240"/>
        <w:rPr>
          <w:lang w:val="el" w:eastAsia="el"/>
        </w:rPr>
      </w:pPr>
      <w:r>
        <w:rPr>
          <w:lang w:val="el" w:eastAsia="el"/>
        </w:rPr>
        <w:t>ΟΙ ΥΠΟΥΡΓΟΙ 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(Π.Ν.Π.)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Π.Ν.Π. «Μέτρα για την αντιμετώπιση των συνεχιζόμενων συνεπειών της πανδημίας του κορωνοϊού COVID-19 και άλλες κατεπείγουσες διατάξεις» (Α' 84) και ειδικότερα της παρ. 3 αυτού.</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Κανονισμό (ΕΕ)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Την ανακοίνωση της Ευρωπαϊκής Επιτροπής (ΕΕ)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 4046/2012, 4093/2012 και 4172/2013» (Α' 107).</w:t>
      </w:r>
    </w:p>
    <w:p>
      <w:pPr>
        <w:pStyle w:val="PreambelText"/>
        <w:spacing w:before="240" w:after="240"/>
        <w:rPr>
          <w:lang w:val="el" w:eastAsia="el"/>
        </w:rPr>
      </w:pPr>
      <w:r>
        <w:rPr>
          <w:lang w:val="el" w:eastAsia="el"/>
        </w:rPr>
        <w:t>7.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142/2017 (Α' 181) «Οργανισμός Υπουργείου Οικονομικών» όπως τροποποιήθηκε με το άρθρο 1 του π.δ. 84/2019 (Α' 123).</w:t>
      </w:r>
    </w:p>
    <w:p>
      <w:pPr>
        <w:pStyle w:val="PreambelText"/>
        <w:spacing w:before="240" w:after="240"/>
        <w:rPr>
          <w:lang w:val="el" w:eastAsia="el"/>
        </w:rPr>
      </w:pPr>
      <w:r>
        <w:rPr>
          <w:lang w:val="el" w:eastAsia="el"/>
        </w:rPr>
        <w:t>11. Το π.δ. 147/2017 (Α' 192) «Οργανισμός του Υπουργείου Οικονομίας και Ανάπτυξης» όπως τροποποιήθηκε με το άρθρο 2 του π.δ. 84/2019 (Α' 123).</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PreambelText"/>
        <w:spacing w:before="240" w:after="240"/>
        <w:rPr>
          <w:lang w:val="el" w:eastAsia="el"/>
        </w:rPr>
      </w:pPr>
      <w:r>
        <w:rPr>
          <w:lang w:val="el" w:eastAsia="el"/>
        </w:rPr>
        <w:t>13. Την υπ' αρ.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14.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15. Την υπ' αρ. 340/18-7-2019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16. Την υπ' αρ. 1076/02-04-2020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17.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18. Την υπ' αρ. ΓΔΟΥ130/12-06-2020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19. Το γεγονός ότι από τις διατάξεις της παρούσας απόφασης δεν προκαλείται δαπάνη σε βάρος του κρατικού προϋπολογισμού οικονομικού έτους 2020,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Εκδήλωση ενδιαφέροντος και υποβολή στοιχείων εσόδων</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Επιστρεπτέας Προκαταβολής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και</w:t>
      </w:r>
    </w:p>
    <w:p>
      <w:pPr>
        <w:pStyle w:val="StructureList1"/>
        <w:spacing w:before="120" w:after="0"/>
        <w:rPr>
          <w:lang w:val="el" w:eastAsia="el"/>
        </w:rPr>
      </w:pPr>
      <w:r>
        <w:rPr>
          <w:lang w:val="el" w:eastAsia="el"/>
        </w:rPr>
        <w:t>β)</w:t>
      </w:r>
      <w:r>
        <w:rPr>
          <w:lang w:val="en" w:eastAsia="en"/>
        </w:rPr>
        <w:tab/>
      </w:r>
      <w:r>
        <w:rPr>
          <w:lang w:val="el" w:eastAsia="el"/>
        </w:rPr>
        <w:t>οι ιδιωτικές επιχειρήσεις κάθε νομικής μορφής, συμπεριλαμβανομένων των ατομικών, οι οποίες έχουν την έδρα τους ή μόνιμη εγκατάσταση στην Ελλάδα και λειτουργούν νομίμως και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ατομικές επιχειρήσεις που δεν απασχολούσαν κανένα εργαζόμενο με σχέση εξαρτημένης εργασίας κατά την 1η Ιουνίου 2020, οι οποίες δε διαθέτουν φορολογική ταμειακή μηχανή,</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Ιουνίου 2020,</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είναι σε αδράνεια από τον Απρίλιο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spacing w:before="240" w:after="240"/>
        <w:rPr>
          <w:lang w:val="el" w:eastAsia="el"/>
        </w:rPr>
      </w:pPr>
      <w:r>
        <w:rPr>
          <w:lang w:val="el" w:eastAsia="el"/>
        </w:rPr>
        <w:t>Για την υποβολή της αίτησης εκδήλωσης ενδιαφέροντος δεν αποτελεί προϋπόθεση η υπαγωγή της επιχείρησης σε κάποιον από τους κωδικούς αριθμούς δραστηριότητας (ΚΑΔ) που περιλαμβάνονται στις εκάστοτε εκδιδόμενες υπουργικές αποφάσεις για την αναστολή φορολογικών υποχρεώσεων και τη χορήγηση κάθε είδους ενισχύσεων προς πληττόμενες επιχειρήσεις λόγω του κορωνοϊού COVID-19.</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οι επιχειρήσεις της προηγούμενης παραγράφου οι οποίες: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Είτε δεν ήταν προβληματικές στις 31 Δεκεμβρίου 2019 κατά την έννοια του Κανονισμού υπ' αρ.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 651/2014, δύναται να υποβάλλουν εκδήλωση ενδιαφέροντος ακόμη και αν ήταν προβληματικές στις 31/12/2019, υπό την αίρεση υιοθέτησης του σχεδίου τρίτης τροποποίησης του Προσωρινού Πλαισίου και υπό την προϋπόθεση ότι: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αα)</w:t>
      </w:r>
      <w:r>
        <w:rPr>
          <w:lang w:val="en" w:eastAsia="en"/>
        </w:rPr>
        <w:tab/>
      </w:r>
      <w:r>
        <w:rPr>
          <w:lang w:val="el" w:eastAsia="el"/>
        </w:rPr>
        <w:t>δεν υπάγονται σε συλλογική πτωχευτική διαδικασία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ββ)</w:t>
      </w:r>
      <w:r>
        <w:rPr>
          <w:lang w:val="en" w:eastAsia="en"/>
        </w:rPr>
        <w:tab/>
      </w:r>
      <w:r>
        <w:rPr>
          <w:lang w:val="el" w:eastAsia="el"/>
        </w:rPr>
        <w:t>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Είτε πληρούν τις προϋποθέσεις του Κανονισμού υπ' αρ. 1407/2013 (ΕΕ L351/1 της 24.12.2013) και δεν έχουν ήδη εξαντλήσει το τιθέμενο στον Κανονισμό ανώτατο όριο, για την τριετία 2018-2020.</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Οι ενδιαφερόμενες επιχειρήσεις υποβάλλουν στην πλατφόρμα «myBusinessSupport» τα κατωτέρω στοιχεία:</w:t>
      </w:r>
    </w:p>
    <w:p>
      <w:pPr>
        <w:spacing w:before="240" w:after="240"/>
        <w:rPr>
          <w:lang w:val="el" w:eastAsia="el"/>
        </w:rPr>
      </w:pPr>
      <w:r>
        <w:rPr>
          <w:lang w:val="el" w:eastAsia="el"/>
        </w:rPr>
        <w:t>Α. Για τους μήνες Ιανουάριο έως και Μάιο 2020.</w:t>
      </w:r>
    </w:p>
    <w:p>
      <w:pPr>
        <w:pStyle w:val="StructureList1"/>
        <w:spacing w:before="120" w:after="0"/>
        <w:rPr>
          <w:lang w:val="el" w:eastAsia="el"/>
        </w:rPr>
      </w:pPr>
      <w:r>
        <w:rPr>
          <w:lang w:val="el" w:eastAsia="el"/>
        </w:rPr>
        <w:t>α)</w:t>
      </w:r>
      <w:r>
        <w:rPr>
          <w:lang w:val="en" w:eastAsia="en"/>
        </w:rPr>
        <w:tab/>
      </w:r>
      <w:r>
        <w:rPr>
          <w:lang w:val="el" w:eastAsia="el"/>
        </w:rPr>
        <w:t>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απαλλασσόμενες και ειδικών καθεστώτων ΦΠΑ, συμπληρώνουν:</w:t>
      </w:r>
    </w:p>
    <w:p>
      <w:pPr>
        <w:pStyle w:val="StructureList1"/>
        <w:spacing w:before="120" w:after="0"/>
        <w:rPr>
          <w:lang w:val="el" w:eastAsia="el"/>
        </w:rPr>
      </w:pPr>
      <w:r>
        <w:rPr>
          <w:lang w:val="el" w:eastAsia="el"/>
        </w:rPr>
        <w:t>βα)</w:t>
      </w:r>
      <w:r>
        <w:rPr>
          <w:lang w:val="en" w:eastAsia="en"/>
        </w:rPr>
        <w:tab/>
      </w:r>
      <w:r>
        <w:rPr>
          <w:lang w:val="el" w:eastAsia="el"/>
        </w:rPr>
        <w:t xml:space="preserve">τα ακαθάριστα έσοδα διακριτά για κάθε μήνα, </w:t>
      </w:r>
    </w:p>
    <w:p>
      <w:pPr>
        <w:pStyle w:val="StructureList1"/>
        <w:spacing w:before="120" w:after="0"/>
        <w:rPr>
          <w:lang w:val="el" w:eastAsia="el"/>
        </w:rPr>
      </w:pPr>
      <w:r>
        <w:rPr>
          <w:lang w:val="el" w:eastAsia="el"/>
        </w:rPr>
        <w:t>ββ)</w:t>
      </w:r>
      <w:r>
        <w:rPr>
          <w:lang w:val="en" w:eastAsia="en"/>
        </w:rPr>
        <w:tab/>
      </w:r>
      <w:r>
        <w:rPr>
          <w:lang w:val="el" w:eastAsia="el"/>
        </w:rPr>
        <w:t>το σύνολο των ακαθαρίστων εσόδων (κωδ. 047 του εντύπου Ε3) του φορολογικού έτους 2019,</w:t>
      </w:r>
    </w:p>
    <w:p>
      <w:pPr>
        <w:pStyle w:val="StructureList1"/>
        <w:spacing w:before="120" w:after="0"/>
        <w:rPr>
          <w:lang w:val="el" w:eastAsia="el"/>
        </w:rPr>
      </w:pPr>
      <w:r>
        <w:rPr>
          <w:lang w:val="el" w:eastAsia="el"/>
        </w:rPr>
        <w:t>βγ)</w:t>
      </w:r>
      <w:r>
        <w:rPr>
          <w:lang w:val="en" w:eastAsia="en"/>
        </w:rPr>
        <w:tab/>
      </w:r>
      <w:r>
        <w:rPr>
          <w:lang w:val="el" w:eastAsia="el"/>
        </w:rPr>
        <w:t>το σύνολο των εξόδων του φορολογικού έτους 2019.</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lang w:val="el" w:eastAsia="el"/>
        </w:rPr>
        <w:t>Τα ως άνω υποβαλλόμενα στοιχεία δε δύνανται να τροποποιούνται από την επιχείρηση μετά την οριστικοποίησή τους.</w:t>
      </w:r>
    </w:p>
    <w:p>
      <w:pPr>
        <w:spacing w:before="240" w:after="240"/>
        <w:rPr>
          <w:lang w:val="el" w:eastAsia="el"/>
        </w:rPr>
      </w:pPr>
      <w:r>
        <w:rPr>
          <w:lang w:val="el" w:eastAsia="el"/>
        </w:rPr>
        <w:t>Β. Για τους μήνες Ιούνιο έως και Δεκέμβριο 2020, οι επιχειρήσεις, ανεξαρτήτως τύπου τηρούμενων βιβλίων, συμπληρώνουν τον κύκλο εργασιών ΦΠΑ ή τα ακαθάριστα έσοδα κάθε μήνα, κατά περίπτωση, από την τρίτη (3η) μέχρι τη δέκατη (10η) ημέρα του επόμενου μήνα.</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lang w:val="el" w:eastAsia="el"/>
        </w:rPr>
        <w:t>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lang w:val="el" w:eastAsia="el"/>
        </w:rPr>
        <w:t xml:space="preserve"> </w:t>
      </w:r>
      <w:r>
        <w:rPr>
          <w:b/>
          <w:bCs/>
          <w:lang w:val="el" w:eastAsia="el"/>
        </w:rPr>
        <w:t>Η εκδήλωση ενδιαφέροντος και τα ως άνω συνοδευτικά στοιχεία υποβάλλονται στην πλατφόρμα έως την 26η Ιουνίου 2020.</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w:t>
      </w:r>
    </w:p>
    <w:p>
      <w:pPr>
        <w:spacing w:before="240" w:after="240"/>
        <w:rPr>
          <w:lang w:val="el" w:eastAsia="el"/>
        </w:rPr>
      </w:pPr>
      <w:r>
        <w:rPr>
          <w:lang w:val="el" w:eastAsia="el"/>
        </w:rPr>
        <w:t>Oι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 xml:space="preserve">Ανάπτυξης και Επενδύσεων                      </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ΓΔΟΥ 138/22.6.202022.06.2020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ΓΔΟΥ 138/22.6.202022.06.2020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ΓΔΟΥ 138/22.6.202022.06.2020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ΓΔΟΥ 138/22.6.202022.06.2020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ΓΔΟΥ 138/22.6.202022.06.2020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ΓΔΟΥ 138/22.6.202022.06.2020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