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ΑΔΑ:96ΜΣ46ΜΠ3Ζ-ΦΗ6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ΦΕΚ:Β΄2449/19/06/2020 - 00:00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 15 Ιουνίου 2020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Α.1146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Τροποποίηση της υπ’ αρ. Α.1135/9.6.2020 απόφασης του Υφυπουργού Οικονομικών «Προσδιορισμός πληττόμενων επιχειρήσεων για την απαλλαγή από την υποχρέωση καταβολής του 40% του συνολικού μισθώματος για τον μήνα Ιούνιο 2020» (Β΄2219).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παρ. 5 του δεύτερου άρθρου της από 20.3.2020 Πράξης Νομοθετικού Περιεχομένου (Π.Ν.Π.) (Α΄ 68), όπως αυτή προστέθηκε με την παρ.1 του άρθρου 15 του ν.4690/2020 (Α΄104) όπως κυρώθηκε με το άρθρο 1 του ν. 4683/2020 (Α΄ 83).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ν.4389/2016 «Επείγουσες διατάξεις για την εφαρμογή της συμφωνίας δημοσιονομικών στόχων και διαρθρωτικών μεταρρυθμίσεων και άλλες διατάξεις» (Α΄94),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4174/2013 «Φορολογικές διαδικασίες και άλλες διατάξεις» (Α΄170),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ν.δ. 356/1974 «Περί Κώδικος Εισπράξεως Δημοσίων Εσόδων» (Α΄90) όπως ισχύουν, ιδίως το άρθρο 83.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83/2019 «Διορισμός Αντιπροέδρου της Κυβέρνησης, Υπουργών, Αναπληρωτών Υπουργών και Υφυπουργών» (Α΄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(Α΄ 119).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142/2017 (Α΄181) «Οργανισμός Υπουργείου Οικονομικών» όπως τροποποιήθηκε με το άρθρο 1 του π.δ. 84/2019 (Α΄ 123).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άρθρου 90 του Κώδικα Νομοθεσίας για την Κυβέρνηση και τα κυβερνητικά όργανα, που κυρώθηκε με το άρθρο πρώτο του π.δ 63/2005 (Α΄ 98) σε συνδυασμό με την παρ. 22 του άρθρου 119 του ν. 4622/2019 (Α΄133).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υπ’ αρ. Υ2/09.07.2019 απόφαση του Πρωθυπουργού «Σύσταση θέσεων Αναπληρωτή Υπουργού και Υφυπουργών» (Β΄ 2901).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υπ’ αρ. 339/18.7.2019 απόφαση του Πρωθυπουργού και του Υπουργού Οικονομικών «Ανάθεση αρμοδιοτήτων στον Υφυπουργό Οικονομικών, Απόστολο Βεσυρόπουλο» (Β΄3051).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υπ’ αρ. 1/20.01.2016 πράξη του Υπουργικού Συμβουλίου «Επιλογή και διορισμός Γενικού Γραμματέα της Γενικής Γραμματείας Δημοσίων Εσόδων του Υπουργείου Οικονομικών» (Υ.Ο.Δ.Δ. 18), σε συνδυασμό με τις διατάξεις της</w:t>
      </w:r>
      <w:r>
        <w:rPr>
          <w:rStyle w:val="link"/>
          <w:lang w:val="el" w:eastAsia="el"/>
        </w:rPr>
        <w:t xml:space="preserve"> παρ. 10 </w:t>
      </w:r>
      <w:r>
        <w:rPr>
          <w:lang w:val="el" w:eastAsia="el"/>
        </w:rPr>
        <w:t>του</w:t>
      </w:r>
      <w:r>
        <w:rPr>
          <w:rStyle w:val="link"/>
          <w:lang w:val="el" w:eastAsia="el"/>
        </w:rPr>
        <w:t xml:space="preserve"> άρθρου 41 </w:t>
      </w:r>
      <w:r>
        <w:rPr>
          <w:lang w:val="el" w:eastAsia="el"/>
        </w:rPr>
        <w:t>του ν.</w:t>
      </w:r>
      <w:r>
        <w:rPr>
          <w:rStyle w:val="link"/>
          <w:lang w:val="el" w:eastAsia="el"/>
        </w:rPr>
        <w:t xml:space="preserve"> 4389/2016</w:t>
      </w:r>
      <w:r>
        <w:rPr>
          <w:lang w:val="el" w:eastAsia="el"/>
        </w:rPr>
        <w:t>, όπως ισχύουν, την υπ’ αρ. 39/3/30.11.2017 απόφαση του Συμβουλίου Διοίκησης της Α.Α.Δ.Ε. «Ανανέωσης θητείας του Διοικητή της Ανεξάρτητης Αρχής Δημοσίων Εσόδων» (Υ.Ο.Δ.Δ. 689), καθώς και την υπ’ αρ. 5294/17.1.2020 απόφαση του Υπουργού Οικονομικών «Ανανέωση της θητείας του Διοικητή της Ανεξάρτητης Αρχής Δημοσίων Εσόδων» (Υ.Ο.Δ.Δ. 27).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υπ’ αρ. Α.1135/9.6.2020 απόφαση του Υφυπουργού Οικονομικών «Προσδιορισμός πληττόμενων επιχειρήσεων για την απαλλαγή από την υποχρέωση καταβολής του 40% του συνολικού μισθώματος για τον μήνα Ιούνιο 2020» (Β΄2219).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υπ’ αρ. Δ.ΟΡΓ. Α 1036960 ΕΞ 2017 Απόφαση του Διοικητή της Ανεξάρτητης Αρχής Δημοσίων Εσόδων «Οργανισμός της Ανεξάρτητης Αρχής Δημοσίων Εσόδων (Α.Α.Δ.Ε.)» (Β΄968),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Την από 12.6.2020 εισήγηση του Διοικητή της Ανεξάρτητης Αρχής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Την ανάγκη καθορισμού των πληττόμενων επιχειρήσεων για την εφαρμογή της παρ. 5 του άρθρου δεύτερου της από 20.3.2020 Π.Ν.Π. (Α΄ 68) όπως κυρώθηκε με το άρθρο 1 του ν.4683/2020 (Α΄83), όπως αυτή προστέθηκε με την παρ.1 του άρθρου 15 του ν.4690/2020 (Α΄104).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Το γεγονός ότι από την παρούσα δεν προκαλείται δαπάνη σε βάρος τους Κρατικού Προϋπολογισμού οικονομικού έτους 2020.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Στο Παράρτημα της υπ’ αρ. Α.1135/9.6.2020 απόφασης του Υφυπουργού Οικονομικών «Προσδιορισμός πληττόμενων επιχειρήσεων για την απαλλαγή από την υποχρέωση καταβολής του 40% του συνολικού μισθώματος για τον μήνα Ιούνιο 2020» (Β΄2219), προστίθεται νέος ΚΑΔ 49.31 «Αστικές και προαστιακές χερσαίες μεταφορές επιβατών»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ισχύει από τη δημοσίευσή της στην Εφημερίδα της Κυβερνήσεως. Η παρούσα απόφαση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ΟΙΚΟΝΟΜΙΚΩΝΑΠΟΣΤΟΛΟΣ ΒΕΣΥΡΟΠΟΥΛΟΣ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Στρατηγικής Τεχνολογιών Πληροφορικής 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Δ/νση Ηλεκτρονικής Διακυβέρνησης ΑΑΔΕ (με την παράκληση να αναρτηθεί στο διαδικτυακό τόπο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Γενικών Γραμματέων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Γραμματέως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κ.κ. Γεν. Διευθυντών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Εισπράξεων ΑΑΔΕ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nk">
    <w:name w:val="lin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