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ΤΜΗΜΑΤΑ Α΄, Β΄, Γ΄, Δ΄ &amp; Ε΄</w:t>
      </w:r>
    </w:p>
    <w:p>
      <w:pPr>
        <w:pStyle w:val="PreambelText"/>
        <w:spacing w:before="240" w:after="240"/>
        <w:rPr>
          <w:lang w:val="el" w:eastAsia="el"/>
        </w:rPr>
      </w:pPr>
      <w:r>
        <w:rPr>
          <w:b/>
          <w:bCs/>
          <w:lang w:val="el" w:eastAsia="el"/>
        </w:rPr>
        <w:t>ΤΗΛ: 2103635007, 2103635433</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 ΤΜΗΜΑ Β΄</w:t>
      </w:r>
    </w:p>
    <w:p>
      <w:pPr>
        <w:pStyle w:val="PreambelText"/>
        <w:spacing w:before="240" w:after="240"/>
        <w:rPr>
          <w:lang w:val="el" w:eastAsia="el"/>
        </w:rPr>
      </w:pPr>
      <w:r>
        <w:rPr>
          <w:b/>
          <w:bCs/>
          <w:lang w:val="el" w:eastAsia="el"/>
        </w:rPr>
        <w:t>ΤΗΛ: 2104802203, 2104802477</w:t>
      </w:r>
    </w:p>
    <w:p>
      <w:pPr>
        <w:pStyle w:val="PreambelText"/>
        <w:spacing w:before="240" w:after="240"/>
        <w:rPr>
          <w:lang w:val="el" w:eastAsia="el"/>
        </w:rPr>
      </w:pPr>
      <w:r>
        <w:rPr>
          <w:b/>
          <w:bCs/>
          <w:lang w:val="el" w:eastAsia="el"/>
        </w:rPr>
        <w:t>2)ΔΙΕΥΘΥΝΣΗ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 2104803234</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ΑΔΑ:Ω5ΨΦ46ΜΠ3Ζ-95Θ</w:t>
      </w:r>
    </w:p>
    <w:p>
      <w:pPr>
        <w:spacing w:before="240" w:after="240"/>
        <w:rPr>
          <w:lang w:val="el" w:eastAsia="el"/>
        </w:rPr>
      </w:pPr>
      <w:r>
        <w:rPr>
          <w:b/>
          <w:bCs/>
          <w:lang w:val="el" w:eastAsia="el"/>
        </w:rPr>
        <w:t>Αριθ. ΦΕΚ:Β΄2449 /19/06/2020 - 00:00</w:t>
      </w:r>
    </w:p>
    <w:p>
      <w:pPr>
        <w:spacing w:before="240" w:after="240"/>
        <w:rPr>
          <w:lang w:val="el" w:eastAsia="el"/>
        </w:rPr>
      </w:pPr>
      <w:r>
        <w:rPr>
          <w:b/>
          <w:bCs/>
          <w:lang w:val="el" w:eastAsia="el"/>
        </w:rPr>
        <w:t>Αθήνα, 15 Ιουνίου 2020</w:t>
      </w:r>
    </w:p>
    <w:p>
      <w:pPr>
        <w:spacing w:before="240" w:after="240"/>
        <w:rPr>
          <w:lang w:val="el" w:eastAsia="el"/>
        </w:rPr>
      </w:pPr>
      <w:r>
        <w:rPr>
          <w:b/>
          <w:bCs/>
          <w:lang w:val="el" w:eastAsia="el"/>
        </w:rPr>
        <w:t>Α.1147</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2103635007, 2103635433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των λεπτομερειών εφαρμογής του άρθρου 2 της από 11.03.2020 ΠΝΠ (Α΄ 55) όπως τροποποιήθηκε και ισχύει, όπως αυτή κυρώθηκε με το άρθρο 2 του ν.4682/2020 (Α΄76),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(Α΄55)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όπως τροποποιήθηκε και ισχύει, όπως αυτή κυρώθηκε με το άρθρο 2 του ν.4682/2020 (Α΄76).</w:t>
      </w:r>
    </w:p>
    <w:p>
      <w:pPr>
        <w:spacing w:before="240" w:after="240"/>
        <w:rPr>
          <w:lang w:val="el" w:eastAsia="el"/>
        </w:rPr>
      </w:pPr>
      <w:r>
        <w:rPr>
          <w:lang w:val="el" w:eastAsia="el"/>
        </w:rPr>
        <w:t>2. Τις διατάξεις του άρθρου 3 του ν. 4690/2020 (Α’ 104).</w:t>
      </w:r>
    </w:p>
    <w:p>
      <w:pPr>
        <w:spacing w:before="240" w:after="240"/>
        <w:rPr>
          <w:lang w:val="el" w:eastAsia="el"/>
        </w:rPr>
      </w:pPr>
      <w:r>
        <w:rPr>
          <w:lang w:val="el" w:eastAsia="el"/>
        </w:rPr>
        <w:t>3. Τις διατάξεις του ν. 4174/2013 «Φορολογικές διαδικασίες και άλλες διατάξεις» (Α΄170 -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(Α΄90 – Κ.Ε.Δ.Ε.), όπως ισχύουν.</w:t>
      </w:r>
    </w:p>
    <w:p>
      <w:pPr>
        <w:spacing w:before="240" w:after="240"/>
        <w:rPr>
          <w:lang w:val="el" w:eastAsia="el"/>
        </w:rPr>
      </w:pPr>
      <w:r>
        <w:rPr>
          <w:lang w:val="el" w:eastAsia="el"/>
        </w:rPr>
        <w:t>5. Το π.δ. 142/2017 (Α΄181) «Οργανισμός Υπουργείου Οικονομικών».</w:t>
      </w:r>
    </w:p>
    <w:p>
      <w:pPr>
        <w:spacing w:before="240" w:after="240"/>
        <w:rPr>
          <w:lang w:val="el" w:eastAsia="el"/>
        </w:rPr>
      </w:pPr>
      <w:r>
        <w:rPr>
          <w:lang w:val="el" w:eastAsia="el"/>
        </w:rPr>
        <w:t>6. Τις διατάξεις του π.δ. 16/1989 (Α΄6)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7. Την υπ’ αρ. Δ.ΟΡΓ. Α 1036960 ΕΞ 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8. Το π.δ. 83/2019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9. Την υπ’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(Β΄3051)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11. Τις διατάξεις του ν.4389/2016 (Α΄94)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12. Την υπ’ αρ. Δ1α/ΓΠ.οικ.18159/14.3.2020 (Β΄859)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13. Την υπ’ αρ. 18152/14.3.2020 (Β΄857)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14. Την υπ’ αρ. Δ1α/ΓΠ.οικ. 18149/13.3.2020 (Β΄ 855)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15. Την Δ1α/ΓΠ οικ.16838/10.3.2020 (Β’ 783)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16. Την Δ1α/ΓΠ οικ. 16837/10.3.2020 (Β’ 782)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17. Την υπ’ αρ. Δ1α/ΓΠ.οικ. 17733/12.3.2020 (Β’ 833)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18. Την Δ1α/ΓΠ.οικ.19024/17.3.2020 (Β΄915)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19. Την 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υπ’ αρ. 39/3/30-11-2017 (Υ.Ο.Δ.Δ. 689) απόφαση του Συμβουλίου Διοίκησης της Α.Α.Δ.Ε. «Ανανέωση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20. Την ανάγκη καθορισμού των λεπτομερειών εφαρμογής του άρθρου 2 της από 11.3.2020 (Α΄55)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όπως τροποποιήθηκε και ισχύει, όπως αυτή κυρώθηκε με το άρθρο 2 του ν.4682/2020 (Α΄76).</w:t>
      </w:r>
    </w:p>
    <w:p>
      <w:pPr>
        <w:spacing w:before="240" w:after="240"/>
        <w:rPr>
          <w:lang w:val="el" w:eastAsia="el"/>
        </w:rPr>
      </w:pPr>
      <w:r>
        <w:rPr>
          <w:lang w:val="el" w:eastAsia="el"/>
        </w:rPr>
        <w:t>21. Την εισήγηση του Διοικητή της Α.Α.Δ.Ε.</w:t>
      </w:r>
    </w:p>
    <w:p>
      <w:pPr>
        <w:spacing w:before="240" w:after="240"/>
        <w:rPr>
          <w:lang w:val="el" w:eastAsia="el"/>
        </w:rPr>
      </w:pPr>
      <w:r>
        <w:rPr>
          <w:lang w:val="el" w:eastAsia="el"/>
        </w:rPr>
        <w:t>22.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31/10/2020 οι προθεσμίες καταβολής των βεβαιωμένων στις Δ.Ο.Υ./Ελεγκτικά Κέντρα οφειλών των επιχειρήσεων,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στις 20/03/2020, που λήγουν ή έληξαν από 01/06/2020 έως και 30/06/2020.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31/10/2020 η είσπραξη των βεβαιωμένων και ληξιπρόθεσμων κατά την 01/06/2020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του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δεν καταργεί την υπ’ αρ. Α.1053/21.03.2020 (Β΄949) απόφαση, όπως τροποποιήθηκε με την υπ’ αρ. Α.1062/26.03.2020 (Β΄1043) απόφαση, την υπ’ αρ. Α.1072/02.04.2020 (Β΄1157), όπως τροποποιήθηκε με την υπ’ αρ. Α.1083/13.04.2020 (Β΄1387) απόφαση, και την υπ’ αρ. Α.1106/08.05.2020 (Β΄1823) απόφαση.</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47.78.89.0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8230</w:t>
            </w:r>
          </w:p>
          <w:p>
            <w:pPr>
              <w:spacing w:before="240"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των υπηρεσιών λαχείων, παιχνιδιών με αριθμούς και μπίγκο (92.00.13), των υπηρεσιών τυχερών παιχνιδιών (92.00.19), άλλων υπηρεσιών στοιχημάτων (92.00.29)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εκτός από υπηρεσίες πίστας καρτ (93.11.10.04)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εξαιρουμένων των υπηρεσιών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(96.04.10.01), των υπηρεσιών διαιτολογικών μονάδων (πολυδύναμων μονάδων συνδυασμού αισθητικής και δίαιτας (με εξαίρεση την σωματική άσκηση) (96.04.10.02), υπηρεσιών προσωπικής υγιεινής και φροντίδας σώματος (αποτρίχωσης, θεραπείας με υπεριώδεις και υπέρυθρες ακτίνες,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