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60967 ΕΞ 2020</w:t>
      </w:r>
    </w:p>
    <w:p>
      <w:pPr>
        <w:pStyle w:val="Title"/>
        <w:spacing w:before="120" w:after="360"/>
        <w:rPr>
          <w:lang w:val="el" w:eastAsia="el"/>
        </w:rPr>
      </w:pPr>
      <w:r>
        <w:rPr>
          <w:lang w:val="el" w:eastAsia="el"/>
        </w:rPr>
        <w:t>Ηλεκτρονική Τιμολόγηση στο πλαίσιο των Δημοσίων Συμβάσεων δυνάμει του ν. 4601/2019 (Α΄ 44)</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b/>
          <w:bCs/>
          <w:lang w:val="el" w:eastAsia="el"/>
        </w:rPr>
        <w:t>Αριθμ. οικ. 60967 ΕΞ 2020</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(ΦΕΚ Β' 2425/18-06-2020)</w:t>
      </w:r>
    </w:p>
    <w:p>
      <w:pPr>
        <w:pStyle w:val="PreambelText"/>
        <w:spacing w:before="240" w:after="240"/>
        <w:rPr>
          <w:lang w:val="el" w:eastAsia="el"/>
        </w:rPr>
      </w:pPr>
      <w:r>
        <w:rPr>
          <w:lang w:val="el" w:eastAsia="el"/>
        </w:rPr>
        <w:t>ΟΙ ΥΠΟΥΡΓΟΙ ΟΙΚΟΝΟΜΙΚΩΝ - ΑΝΑΠΤΥΞΗΣ ΚΑΙ ΕΠΕΝΔΥΣΕΩΝ-ΕΘΝΙΚΗΣ ΑΜΥΝΑΣ-ΕΣΩΤΕΡΙΚΩΝ-ΨΗΦΙΑΚΗΣ ΔΙΑΚΥΒΕΡΝΗΣΗΣ-ΥΠΟΔΟΜΩΝ ΚΑΙ ΜΕΤΑΦΟΡΩΝ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όπως αυτές ισχύουν:</w:t>
      </w:r>
    </w:p>
    <w:p>
      <w:pPr>
        <w:pStyle w:val="PreambelText"/>
        <w:spacing w:before="240" w:after="240"/>
        <w:rPr>
          <w:lang w:val="el" w:eastAsia="el"/>
        </w:rPr>
      </w:pPr>
      <w:r>
        <w:rPr>
          <w:lang w:val="el" w:eastAsia="el"/>
        </w:rPr>
        <w:t>1.1 Του ν. 4601/2019 «Εταιρικοί μετασχηματισμοί και εναρμόνιση του νομοθετικού πλαισίου με τις διατάξεις της Οδηγίας 2014/55/ΕΕ του Ευρωπαϊκού Κοινοβουλίου και του Συμβουλίου της 16ης Απριλίου 2014 για την έκδοση ηλεκτρονικών τιμολογίων στο πλαίσιο δημόσιων συμβάσεων και λοιπές διατάξεις» και ιδίως τα άρθρα 148, 153 και την παρ. 2 του άρθρου 154 (Α΄ 44).</w:t>
      </w:r>
    </w:p>
    <w:p>
      <w:pPr>
        <w:pStyle w:val="PreambelText"/>
        <w:spacing w:before="240" w:after="240"/>
        <w:rPr>
          <w:lang w:val="el" w:eastAsia="el"/>
        </w:rPr>
      </w:pPr>
      <w:r>
        <w:rPr>
          <w:lang w:val="el" w:eastAsia="el"/>
        </w:rPr>
        <w:t>1.2 Του ν. 2690/1999 «Κύρωση του Κώδικα Διοικητικής Διαδικασίας και άλλες διατάξεις» (Α΄ 45).</w:t>
      </w:r>
    </w:p>
    <w:p>
      <w:pPr>
        <w:pStyle w:val="PreambelText"/>
        <w:spacing w:before="240" w:after="240"/>
        <w:rPr>
          <w:lang w:val="el" w:eastAsia="el"/>
        </w:rPr>
      </w:pPr>
      <w:r>
        <w:rPr>
          <w:lang w:val="el" w:eastAsia="el"/>
        </w:rPr>
        <w:t>1.3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w:t>
      </w:r>
    </w:p>
    <w:p>
      <w:pPr>
        <w:pStyle w:val="PreambelText"/>
        <w:spacing w:before="240" w:after="240"/>
        <w:rPr>
          <w:lang w:val="el" w:eastAsia="el"/>
        </w:rPr>
      </w:pPr>
      <w:r>
        <w:rPr>
          <w:lang w:val="el" w:eastAsia="el"/>
        </w:rPr>
        <w:t>1.4 Του ν. 3978/2011 «Δημόσιες Συμβάσεις Έργων, Υπηρεσιών και Προμηθειών στους τομείς της Άμυνας και της Ασφάλειας Εναρμόνιση με την Οδηγία 2009/81/ ΕΚ Ρύθμιση θεμάτων του Υπουργείου Εθνικής Άμυνας» (Α΄ 137).</w:t>
      </w:r>
    </w:p>
    <w:p>
      <w:pPr>
        <w:pStyle w:val="PreambelText"/>
        <w:spacing w:before="240" w:after="240"/>
        <w:rPr>
          <w:lang w:val="el" w:eastAsia="el"/>
        </w:rPr>
      </w:pPr>
      <w:r>
        <w:rPr>
          <w:lang w:val="el" w:eastAsia="el"/>
        </w:rPr>
        <w:t>1.5 Του ν. 3979/2011 «Για την ηλεκτρονική διακυβέρνηση και λοιπές διατάξεις» (Α΄ 138).</w:t>
      </w:r>
    </w:p>
    <w:p>
      <w:pPr>
        <w:pStyle w:val="PreambelText"/>
        <w:spacing w:before="240" w:after="240"/>
        <w:rPr>
          <w:lang w:val="el" w:eastAsia="el"/>
        </w:rPr>
      </w:pPr>
      <w:r>
        <w:rPr>
          <w:lang w:val="el" w:eastAsia="el"/>
        </w:rPr>
        <w:t>1.6 Του ν. 4013/2011 «Σύσταση ενιαίας Ανεξάρτητης Αρχής Δημοσίων Συμβάσεων και Κεντρικού Ηλεκτρονικού Μητρώου Δημοσίων Συμβάσεων Αντικατάσταση του έκτου κεφαλαίου του ν. 3588/2007 (πτωχευτικός κώδικας) Προπτωχευτική διαδικασία εξυγίανσης και άλλες διατάξεις» (Α΄ 204).</w:t>
      </w:r>
    </w:p>
    <w:p>
      <w:pPr>
        <w:pStyle w:val="PreambelText"/>
        <w:spacing w:before="240" w:after="240"/>
        <w:rPr>
          <w:lang w:val="el" w:eastAsia="el"/>
        </w:rPr>
      </w:pPr>
      <w:r>
        <w:rPr>
          <w:lang w:val="el" w:eastAsia="el"/>
        </w:rPr>
        <w:t>1.7 Του ν. 4412/2016 «Δημόσιες Συμβάσεις Έργων, Προμηθειών και Υπηρεσιών (προσαρμογή στις Οδηγίες 2014/24/ΕΕ και 2014/25/ΕΕ)» (Α΄ 147).</w:t>
      </w:r>
    </w:p>
    <w:p>
      <w:pPr>
        <w:pStyle w:val="PreambelText"/>
        <w:spacing w:before="240" w:after="240"/>
        <w:rPr>
          <w:lang w:val="el" w:eastAsia="el"/>
        </w:rPr>
      </w:pPr>
      <w:r>
        <w:rPr>
          <w:lang w:val="el" w:eastAsia="el"/>
        </w:rPr>
        <w:t>1.8 Του ν. 4413/2016 «Ανάθεση και εκτέλεση συμβάσεων παραχώρησης Εναρμόνιση με την Οδηγία 2014/23/ ΕΕ του Ευρωπαϊκού Κοινοβουλίου και του Συμβουλίου της 26ης Φεβρουαρίου 2014 σχετικά με την ανάθεση συμβάσεων παραχώρησης (ΕΕ L 94/1/28.3.2014) και άλλες διατάξεις» (Α΄ 148).</w:t>
      </w:r>
    </w:p>
    <w:p>
      <w:pPr>
        <w:pStyle w:val="PreambelText"/>
        <w:spacing w:before="240" w:after="240"/>
        <w:rPr>
          <w:lang w:val="el" w:eastAsia="el"/>
        </w:rPr>
      </w:pPr>
      <w:r>
        <w:rPr>
          <w:lang w:val="el" w:eastAsia="el"/>
        </w:rPr>
        <w:t>1.9 Του ν. 4152/2013 «Επείγοντα μέτρα εφαρμογής των νόμων 4046/2012, 4093/2012 και 4127/2013» (Α΄ 107).</w:t>
      </w:r>
    </w:p>
    <w:p>
      <w:pPr>
        <w:pStyle w:val="PreambelText"/>
        <w:spacing w:before="240" w:after="240"/>
        <w:rPr>
          <w:lang w:val="el" w:eastAsia="el"/>
        </w:rPr>
      </w:pPr>
      <w:r>
        <w:rPr>
          <w:lang w:val="el" w:eastAsia="el"/>
        </w:rPr>
        <w:t>1.10 Του ν. 4308/2014 «Ελληνικά Λογιστικά Πρότυπα, συναφείς ρυθμίσεις και άλλες διατάξεις» (Α΄ 251).</w:t>
      </w:r>
    </w:p>
    <w:p>
      <w:pPr>
        <w:pStyle w:val="PreambelText"/>
        <w:spacing w:before="240" w:after="240"/>
        <w:rPr>
          <w:lang w:val="el" w:eastAsia="el"/>
        </w:rPr>
      </w:pPr>
      <w:r>
        <w:rPr>
          <w:lang w:val="el" w:eastAsia="el"/>
        </w:rPr>
        <w:t>1.11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PreambelText"/>
        <w:spacing w:before="240" w:after="240"/>
        <w:rPr>
          <w:lang w:val="el" w:eastAsia="el"/>
        </w:rPr>
      </w:pPr>
      <w:r>
        <w:rPr>
          <w:lang w:val="el" w:eastAsia="el"/>
        </w:rPr>
        <w:t>1.12 Του Κανονισμού (ΕΕ) αριθ. 910/2014 του Ευρωπαϊκού Κοινοβουλίου και του Συμβουλίου της 23ης Ιουλίου 2014 σχετικά με την ηλεκτρονική ταυτοποίηση και τις υπηρεσίες εμπιστοσύνης για τις ηλεκτρονικές συναλλαγές στην εσωτερική αγορά και την κατάργηση της οδηγίας 1999/93/ΕΚ».</w:t>
      </w:r>
    </w:p>
    <w:p>
      <w:pPr>
        <w:pStyle w:val="PreambelText"/>
        <w:spacing w:before="240" w:after="240"/>
        <w:rPr>
          <w:lang w:val="el" w:eastAsia="el"/>
        </w:rPr>
      </w:pPr>
      <w:r>
        <w:rPr>
          <w:lang w:val="el" w:eastAsia="el"/>
        </w:rPr>
        <w:t>1.13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p>
    <w:p>
      <w:pPr>
        <w:pStyle w:val="PreambelText"/>
        <w:spacing w:before="240" w:after="240"/>
        <w:rPr>
          <w:lang w:val="el" w:eastAsia="el"/>
        </w:rPr>
      </w:pPr>
      <w:r>
        <w:rPr>
          <w:lang w:val="el" w:eastAsia="el"/>
        </w:rPr>
        <w:t>1.14 Του άρθρου 90 του π.δ. 63/2005 «Κωδικοποίηση της νομοθεσίας για την Κυβέρνηση και τα. Κυβερνητικά όργανα» (Α΄ 98) και της περ. 22 του άρθρου 119 του ν. 4622/2019 (Α΄133).</w:t>
      </w:r>
    </w:p>
    <w:p>
      <w:pPr>
        <w:pStyle w:val="PreambelText"/>
        <w:spacing w:before="240" w:after="240"/>
        <w:rPr>
          <w:lang w:val="el" w:eastAsia="el"/>
        </w:rPr>
      </w:pPr>
      <w:r>
        <w:rPr>
          <w:lang w:val="el" w:eastAsia="el"/>
        </w:rPr>
        <w:t>1.15 Του π.δ. 25/2014 «Ηλεκτρονικό Αρχείο και Ψηφιοποίηση εγγράφων» (Α΄ 44).</w:t>
      </w:r>
    </w:p>
    <w:p>
      <w:pPr>
        <w:pStyle w:val="PreambelText"/>
        <w:spacing w:before="240" w:after="240"/>
        <w:rPr>
          <w:lang w:val="el" w:eastAsia="el"/>
        </w:rPr>
      </w:pPr>
      <w:r>
        <w:rPr>
          <w:lang w:val="el" w:eastAsia="el"/>
        </w:rPr>
        <w:t>1.16 Του π.δ. 147/2017 «Οργανισμός του Υπουργείου Οικονομίας και Ανάπτυξης» (Α΄ 192).</w:t>
      </w:r>
    </w:p>
    <w:p>
      <w:pPr>
        <w:pStyle w:val="PreambelText"/>
        <w:spacing w:before="240" w:after="240"/>
        <w:rPr>
          <w:lang w:val="el" w:eastAsia="el"/>
        </w:rPr>
      </w:pPr>
      <w:r>
        <w:rPr>
          <w:lang w:val="el" w:eastAsia="el"/>
        </w:rPr>
        <w:t>1.17 Του π.δ. 142/2017 «Οργανισμός του Υπουργείου Οικονομικών» (Α΄ 181).</w:t>
      </w:r>
    </w:p>
    <w:p>
      <w:pPr>
        <w:pStyle w:val="PreambelText"/>
        <w:spacing w:before="240" w:after="240"/>
        <w:rPr>
          <w:lang w:val="el" w:eastAsia="el"/>
        </w:rPr>
      </w:pPr>
      <w:r>
        <w:rPr>
          <w:lang w:val="el" w:eastAsia="el"/>
        </w:rPr>
        <w:t>1.18 Του π.δ. 82/2017 «Οργανισμός Υπουργείου Ψηφιακής Πολιτικής, Τηλεπικοινωνιών και Ενημέρωσης» (Α΄ 117).</w:t>
      </w:r>
    </w:p>
    <w:p>
      <w:pPr>
        <w:pStyle w:val="PreambelText"/>
        <w:spacing w:before="240" w:after="240"/>
        <w:rPr>
          <w:lang w:val="el" w:eastAsia="el"/>
        </w:rPr>
      </w:pPr>
      <w:r>
        <w:rPr>
          <w:lang w:val="el" w:eastAsia="el"/>
        </w:rPr>
        <w:t>1.19 Του π.δ. 123/2017 «Οργανισμός του Υπουργείου Υποδομών και Μεταφορών» (Α΄ 151).</w:t>
      </w:r>
    </w:p>
    <w:p>
      <w:pPr>
        <w:pStyle w:val="PreambelText"/>
        <w:spacing w:before="240" w:after="240"/>
        <w:rPr>
          <w:lang w:val="el" w:eastAsia="el"/>
        </w:rPr>
      </w:pPr>
      <w:r>
        <w:rPr>
          <w:lang w:val="el" w:eastAsia="el"/>
        </w:rPr>
        <w:t>1.20 Του π.δ. 141/2017 «Οργανισμός του Υπουργείου Εσωτερικών» (Α΄ 180).</w:t>
      </w:r>
    </w:p>
    <w:p>
      <w:pPr>
        <w:pStyle w:val="PreambelText"/>
        <w:spacing w:before="240" w:after="240"/>
        <w:rPr>
          <w:lang w:val="el" w:eastAsia="el"/>
        </w:rPr>
      </w:pPr>
      <w:r>
        <w:rPr>
          <w:lang w:val="el" w:eastAsia="el"/>
        </w:rPr>
        <w:t>1.21 Του π.δ. 73/2006 «Διάρθρωση, αρμοδιότητες και στελέχωση των Γενικών Διευθύνσεων: α) Οικονομικού Σχεδιασμού και Υποστήριξης, β) Αμυντικών Εξοπλισμών και Επενδύσεων, και γ) Πολιτικής Εθνικής Άμυνας και Διεθνών Σχέσεων του Υπουργείου Εθνικής Άμυνας» (Α΄ 76).</w:t>
      </w:r>
    </w:p>
    <w:p>
      <w:pPr>
        <w:pStyle w:val="PreambelText"/>
        <w:spacing w:before="240" w:after="240"/>
        <w:rPr>
          <w:lang w:val="el" w:eastAsia="el"/>
        </w:rPr>
      </w:pPr>
      <w:r>
        <w:rPr>
          <w:lang w:val="el" w:eastAsia="el"/>
        </w:rPr>
        <w:t>1.22 Του π.δ. 79/2018 «Οργανισμός Πολιτικού Προσωπικού Υπουργείου Εθνικής Άμυνας» (Α΄ 148).</w:t>
      </w:r>
    </w:p>
    <w:p>
      <w:pPr>
        <w:pStyle w:val="PreambelText"/>
        <w:spacing w:before="240" w:after="240"/>
        <w:rPr>
          <w:lang w:val="el" w:eastAsia="el"/>
        </w:rPr>
      </w:pPr>
      <w:r>
        <w:rPr>
          <w:lang w:val="el" w:eastAsia="el"/>
        </w:rPr>
        <w:t>1.23 Του π.δ. 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w:t>
      </w:r>
    </w:p>
    <w:p>
      <w:pPr>
        <w:pStyle w:val="PreambelText"/>
        <w:spacing w:before="240" w:after="240"/>
        <w:rPr>
          <w:lang w:val="el" w:eastAsia="el"/>
        </w:rPr>
      </w:pPr>
      <w:r>
        <w:rPr>
          <w:lang w:val="el" w:eastAsia="el"/>
        </w:rPr>
        <w:t>1.24 Του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1.25 Του π.δ. 84/2019 «Σύσταση και κατάργηση Γενικών Γραμματειών και Ειδικών Γραμματειών/Ενιαίων Διοικητικών Τομέων Υπουργείων» (A΄ 123).</w:t>
      </w:r>
    </w:p>
    <w:p>
      <w:pPr>
        <w:pStyle w:val="PreambelText"/>
        <w:spacing w:before="240" w:after="240"/>
        <w:rPr>
          <w:lang w:val="el" w:eastAsia="el"/>
        </w:rPr>
      </w:pPr>
      <w:r>
        <w:rPr>
          <w:lang w:val="el" w:eastAsia="el"/>
        </w:rPr>
        <w:t>2. Τις αποφάσεις:</w:t>
      </w:r>
    </w:p>
    <w:p>
      <w:pPr>
        <w:pStyle w:val="PreambelText"/>
        <w:spacing w:before="240" w:after="240"/>
        <w:rPr>
          <w:lang w:val="el" w:eastAsia="el"/>
        </w:rPr>
      </w:pPr>
      <w:r>
        <w:rPr>
          <w:lang w:val="el" w:eastAsia="el"/>
        </w:rPr>
        <w:t>2.1 Την υπ’ αρ. ΥΑΠ/Φ.40.4/1/989/10.4.2012 απόφαση του Υφυπουργού Διοικητικής Μεταρρύθμισης και Ηλεκτρονικής Διακυβέρνησης «Κύρωση Πλαισίου Παροχής Υπηρεσιών Ηλεκτρονικής Διακυβέρνησης» (Β΄ 1301).</w:t>
      </w:r>
    </w:p>
    <w:p>
      <w:pPr>
        <w:pStyle w:val="PreambelText"/>
        <w:spacing w:before="240" w:after="240"/>
        <w:rPr>
          <w:lang w:val="el" w:eastAsia="el"/>
        </w:rPr>
      </w:pPr>
      <w:r>
        <w:rPr>
          <w:lang w:val="el" w:eastAsia="el"/>
        </w:rPr>
        <w:t>2.2 Την υπ’ αρ. 118944 ΕΞ 23-10-2019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2.3 Την υπ’αρ. 2/53983/0026/27-06-2019 κοινή απόφαση των Υπουργών Οικονομικών, Δικαιοσύνης, Διαφάνειας και Ανθρωπίνων Δικαιωμάτων και Διοικητικής Ανασυγκρότησης «Ηλεκτρονική διακίνηση δικαιολογητικών δαπανών» (Β΄ 2726).</w:t>
      </w:r>
    </w:p>
    <w:p>
      <w:pPr>
        <w:pStyle w:val="PreambelText"/>
        <w:spacing w:before="240" w:after="240"/>
        <w:rPr>
          <w:lang w:val="el" w:eastAsia="el"/>
        </w:rPr>
      </w:pPr>
      <w:r>
        <w:rPr>
          <w:lang w:val="el" w:eastAsia="el"/>
        </w:rPr>
        <w:t>2.4 Την υπ’ αρ. 56902/215/19.5.2017 απόφαση του Υπουργού Οικονομίας και Ανάπτυξης «Τεχνικές λεπτομέρειες και διαδικασίες λειτουργίας του Εθνικού Συστήματος Ηλεκτρονικών Δημοσίων Συμβάσεων (Ε.Σ.Η.ΔΗ.Σ.)» (Β΄ 1924).</w:t>
      </w:r>
    </w:p>
    <w:p>
      <w:pPr>
        <w:pStyle w:val="PreambelText"/>
        <w:spacing w:before="240" w:after="240"/>
        <w:rPr>
          <w:lang w:val="el" w:eastAsia="el"/>
        </w:rPr>
      </w:pPr>
      <w:r>
        <w:rPr>
          <w:lang w:val="el" w:eastAsia="el"/>
        </w:rPr>
        <w:t>2.5 Την υπ’αρ. 117384/26.10.2017 κοινή απόφαση των Υπουργών Οικονομίας και Ανάπτυξης και Υποδομών και Μεταφορών «Ρυθμίσεις τεχνικών ζητημάτων που αφορούν την ανάθεση των Δημοσίων Συμβάσεων έργων, μελετών και παροχής τεχνικών και λοιπών συναφών επιστημονικών υπηρεσιών με χρήση των επιμέρους εργαλείων και διαδικασιών του Εθνικού Συστήματος Ηλεκτρονικών Δημοσίων Συμβάσεων (Ε.Σ.Η.ΔΗ.Σ.)» (Β΄ 3821).</w:t>
      </w:r>
    </w:p>
    <w:p>
      <w:pPr>
        <w:pStyle w:val="PreambelText"/>
        <w:spacing w:before="240" w:after="240"/>
        <w:rPr>
          <w:lang w:val="el" w:eastAsia="el"/>
        </w:rPr>
      </w:pPr>
      <w:r>
        <w:rPr>
          <w:lang w:val="el" w:eastAsia="el"/>
        </w:rPr>
        <w:t>2.6 Την υπ’αρ. Υ2/2019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2.7 Την υπ’ αρ. 340/18-07-2019 κοινή απόφαση του Πρωθυπουργού και του Υπουργού Οικονομικών «Ανάθεση αρμοδιοτήτων στον Υφυπουργό Οικονομικών Θεόδωρο Σκυλακάκη» (Β΄ 3051).</w:t>
      </w:r>
    </w:p>
    <w:p>
      <w:pPr>
        <w:pStyle w:val="PreambelText"/>
        <w:spacing w:before="240" w:after="240"/>
        <w:rPr>
          <w:lang w:val="el" w:eastAsia="el"/>
        </w:rPr>
      </w:pPr>
      <w:r>
        <w:rPr>
          <w:lang w:val="el" w:eastAsia="el"/>
        </w:rPr>
        <w:t>2.8 Την υπ’αριθμ.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2.9 Την υπ’ αρ. 46/2019 κοινή απόφαση του Πρωθυπουργού και του Υπουργού Ανάπτυξης και Επενδύσεων</w:t>
      </w:r>
    </w:p>
    <w:p>
      <w:pPr>
        <w:pStyle w:val="PreambelText"/>
        <w:spacing w:before="240" w:after="240"/>
        <w:rPr>
          <w:lang w:val="el" w:eastAsia="el"/>
        </w:rPr>
      </w:pPr>
      <w:r>
        <w:rPr>
          <w:lang w:val="el" w:eastAsia="el"/>
        </w:rPr>
        <w:t>«Ανάθεση αρμοδιοτήτων στον Υφυπουργό Ανάπτυξης και Επενδύσεων, Νικόλαο Παπαθανάση» (Β΄ 3100).</w:t>
      </w:r>
    </w:p>
    <w:p>
      <w:pPr>
        <w:pStyle w:val="PreambelText"/>
        <w:spacing w:before="240" w:after="240"/>
        <w:rPr>
          <w:lang w:val="el" w:eastAsia="el"/>
        </w:rPr>
      </w:pPr>
      <w:r>
        <w:rPr>
          <w:lang w:val="el" w:eastAsia="el"/>
        </w:rPr>
        <w:t>2.10 Την υπ΄αρ. 162/25.07.2019 κοινή απόφαση του Πρωθυπουργού και του Υπουργού Επικρατείας «Ανάθεση αρμοδιοτήτων στον Υφυπουργό Ψηφιακής Διακυβέρνησης Γρηγόριο Ζαριφόπουλο» (Β΄ 3017).</w:t>
      </w:r>
    </w:p>
    <w:p>
      <w:pPr>
        <w:pStyle w:val="PreambelText"/>
        <w:spacing w:before="240" w:after="240"/>
        <w:rPr>
          <w:lang w:val="el" w:eastAsia="el"/>
        </w:rPr>
      </w:pPr>
      <w:r>
        <w:rPr>
          <w:lang w:val="el" w:eastAsia="el"/>
        </w:rPr>
        <w:t>2.11 Την υπ’ αρ. 1095Α/09.8.2019 κοινή απόφαση του Πρωθυπουργού και του Υπ. Εσωτερικών «Ανάθεση αρμοδιοτήτων στον Υφυπ. Εσωτερικών Θεόδωρο Λιβάνιο».</w:t>
      </w:r>
    </w:p>
    <w:p>
      <w:pPr>
        <w:pStyle w:val="PreambelText"/>
        <w:spacing w:before="240" w:after="240"/>
        <w:rPr>
          <w:lang w:val="el" w:eastAsia="el"/>
        </w:rPr>
      </w:pPr>
      <w:r>
        <w:rPr>
          <w:lang w:val="el" w:eastAsia="el"/>
        </w:rPr>
        <w:t>2.12 Την υπ’αρ. 247153α/9.8.2019 κοινή απόφαση του Πρωθυπουργού και του Υπουργού Εθνικής Άμυνας «Ανάθεση αρμοδιοτήτων στον Υφυπουργό Εθνικής Άμυνας» (Β΄ 3181).</w:t>
      </w:r>
    </w:p>
    <w:p>
      <w:pPr>
        <w:pStyle w:val="PreambelText"/>
        <w:spacing w:before="240" w:after="240"/>
        <w:rPr>
          <w:lang w:val="el" w:eastAsia="el"/>
        </w:rPr>
      </w:pPr>
      <w:r>
        <w:rPr>
          <w:lang w:val="el" w:eastAsia="el"/>
        </w:rPr>
        <w:t>3. Την υπ’αρ. Γ5/2020 σύμφωνη γνώμη της Ενιαίας Ανεξάρτητης Αρχής Δημοσίων Συμβάσεων (Ε.Α.Α.ΔΗ.ΣΥ.).</w:t>
      </w:r>
    </w:p>
    <w:p>
      <w:pPr>
        <w:pStyle w:val="PreambelText"/>
        <w:spacing w:before="240" w:after="240"/>
        <w:rPr>
          <w:lang w:val="el" w:eastAsia="el"/>
        </w:rPr>
      </w:pPr>
      <w:r>
        <w:rPr>
          <w:lang w:val="el" w:eastAsia="el"/>
        </w:rPr>
        <w:t xml:space="preserve">4. Το γεγονός ότι δεν προκαλείται δαπάνη σε βάρος του κρατικού προϋπολογισμού, σύμφωνα με την υπ’αρ. 29651ΕΞ2020/11-03-2020 έκθεση της ΓΔΟΥ του Υπουργείου Οικονομικών,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Πεδίο εφαρμογής-Σκοπός</w:t>
      </w:r>
    </w:p>
    <w:p>
      <w:pPr>
        <w:pStyle w:val="MainText"/>
        <w:spacing w:before="120" w:after="0"/>
        <w:rPr>
          <w:lang w:val="el" w:eastAsia="el"/>
        </w:rPr>
      </w:pPr>
      <w:r>
        <w:rPr>
          <w:b/>
          <w:bCs/>
          <w:lang w:val="el" w:eastAsia="el"/>
        </w:rPr>
        <w:t>1.</w:t>
      </w:r>
      <w:r>
        <w:rPr>
          <w:lang w:val="el" w:eastAsia="el"/>
        </w:rPr>
        <w:t xml:space="preserve"> Η παρούσα εφαρμόζεται από τις κεντρικές κυβερνητικές αρχές και τις κεντρικές αρχές αγορών, καθώς και από τις μη κεντρικές αναθέτουσες αρχές και τους αναθέτοντες φορείς για την παραλαβή και επεξεργασία των ηλεκτρονικών τιμολογίων στο πλαίσιο των δημοσίων συμβάσεων που εμπίπτουν στο πεδίο εφαρμογής του άρθρου 148 του ν. 4601/2019.</w:t>
      </w:r>
    </w:p>
    <w:p>
      <w:pPr>
        <w:pStyle w:val="MainText"/>
        <w:spacing w:before="120" w:after="0"/>
        <w:rPr>
          <w:lang w:val="el" w:eastAsia="el"/>
        </w:rPr>
      </w:pPr>
      <w:r>
        <w:rPr>
          <w:b/>
          <w:bCs/>
          <w:lang w:val="el" w:eastAsia="el"/>
        </w:rPr>
        <w:t>2.</w:t>
      </w:r>
      <w:r>
        <w:rPr>
          <w:lang w:val="el" w:eastAsia="el"/>
        </w:rPr>
        <w:t xml:space="preserve"> Σκοπός της είναι ο καθορισμός της αρχιτεκτονικής, των διαδικασιών παραλαβής, επεξεργασίας και πληρωμής ηλεκτρονικού τιμολογίου, των απαιτήσεων διαλειτουργικότητας και διασύνδεσης με ολοκληρωμένα πληροφοριακά συστήματα του δημοσίου, των τεχνικών προϋποθέσεων ασφάλειας και προστασίας δεδομένων και κάθε άλλου τεχνικού και ειδικού θέματος αναγκαίου για την εφαρμογή της.</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της παρούσας ισχύουν οι εξής ορισμοί:</w:t>
      </w:r>
    </w:p>
    <w:p>
      <w:pPr>
        <w:pStyle w:val="MainText"/>
        <w:spacing w:before="120" w:after="0"/>
        <w:rPr>
          <w:lang w:val="el" w:eastAsia="el"/>
        </w:rPr>
      </w:pPr>
      <w:r>
        <w:rPr>
          <w:b/>
          <w:bCs/>
          <w:lang w:val="el" w:eastAsia="el"/>
        </w:rPr>
        <w:t>1.</w:t>
      </w:r>
      <w:r>
        <w:rPr>
          <w:lang w:val="el" w:eastAsia="el"/>
        </w:rPr>
        <w:t xml:space="preserve"> «PEPPOL (Pan-European Public Procurement Online)»: Πανευρωπαϊκό ανοικτό τεχνολογικό πρότυπο του φορέα OpenPEPPOL που περιλαμβάνει ένα σύνολο τεχνουργημάτων (artifacts) και τεχνικών προδιαγραφών που αφορά στη διασυνοριακή ηλεκτρονική σύναψη συμβάσεων μεταξύ διαφορετικών πληροφοριακών συστημάτων ηλεκτρονικών συμβάσεων (eProcurement) ή/και παροχής υπηρεσιών ηλεκτρονικού επιχειρείν (eBusiness),</w:t>
      </w:r>
    </w:p>
    <w:p>
      <w:pPr>
        <w:pStyle w:val="MainText"/>
        <w:spacing w:before="120" w:after="0"/>
        <w:rPr>
          <w:lang w:val="el" w:eastAsia="el"/>
        </w:rPr>
      </w:pPr>
      <w:r>
        <w:rPr>
          <w:b/>
          <w:bCs/>
          <w:lang w:val="el" w:eastAsia="el"/>
        </w:rPr>
        <w:t>2.</w:t>
      </w:r>
      <w:r>
        <w:rPr>
          <w:lang w:val="el" w:eastAsia="el"/>
        </w:rPr>
        <w:t xml:space="preserve"> «OpenPEPPOL»: μη κερδοσκοπικός διεθνής οργανισμός με μέλη δημόσιους και ιδιωτικούς φορείς με σκοπό την ανάπτυξη και τη συντήρηση των προδιαγραφών PEPPOL, ήτοι των δομικών στοιχείων και των υπηρεσιών και της εφαρμογής αυτών σε όλη την ευρώπη,</w:t>
      </w:r>
    </w:p>
    <w:p>
      <w:pPr>
        <w:pStyle w:val="MainText"/>
        <w:spacing w:before="120" w:after="0"/>
        <w:rPr>
          <w:lang w:val="el" w:eastAsia="el"/>
        </w:rPr>
      </w:pPr>
      <w:r>
        <w:rPr>
          <w:b/>
          <w:bCs/>
          <w:lang w:val="el" w:eastAsia="el"/>
        </w:rPr>
        <w:t>3.</w:t>
      </w:r>
      <w:r>
        <w:rPr>
          <w:lang w:val="el" w:eastAsia="el"/>
        </w:rPr>
        <w:t xml:space="preserve"> «κόμβος δικτύου»: σύστημα Τεχνολογίας Πληροφορικής και Επικοινωνιών (ΤΠΕ) που αποτελεί μέρος του δικτύου και ανήκει κάθε φορά σε φορέα που συμμετέχει στο δίκτυο,</w:t>
      </w:r>
    </w:p>
    <w:p>
      <w:pPr>
        <w:pStyle w:val="MainText"/>
        <w:spacing w:before="120" w:after="0"/>
        <w:rPr>
          <w:lang w:val="el" w:eastAsia="el"/>
        </w:rPr>
      </w:pPr>
      <w:r>
        <w:rPr>
          <w:b/>
          <w:bCs/>
          <w:lang w:val="el" w:eastAsia="el"/>
        </w:rPr>
        <w:t>4.</w:t>
      </w:r>
      <w:r>
        <w:rPr>
          <w:lang w:val="el" w:eastAsia="el"/>
        </w:rPr>
        <w:t xml:space="preserve"> «eDelivery»: αρχιτεκτονική κατανεμημένου δικτύου κόμβων για ψηφιακές επικοινωνίες, όπου κάθε κόμβος χρησιμοποιεί συγκεκριμένα προσυμφωνημένα πρότυπα πρωτόκολλα μεταφοράς και πολιτικές ασφάλειας για διαλειτουργική, ασφαλή, αξιόπιστη και εμπιστευτική ανταλλαγή δεδομένων και εγγράφων των δημοσίων φορέων με άλλους δημόσιους φορείς ή επιχειρήσεις και πολίτες,</w:t>
      </w:r>
    </w:p>
    <w:p>
      <w:pPr>
        <w:pStyle w:val="MainText"/>
        <w:spacing w:before="120" w:after="0"/>
        <w:rPr>
          <w:lang w:val="el" w:eastAsia="el"/>
        </w:rPr>
      </w:pPr>
      <w:r>
        <w:rPr>
          <w:b/>
          <w:bCs/>
          <w:lang w:val="el" w:eastAsia="el"/>
        </w:rPr>
        <w:t>5.</w:t>
      </w:r>
      <w:r>
        <w:rPr>
          <w:lang w:val="el" w:eastAsia="el"/>
        </w:rPr>
        <w:t xml:space="preserve"> «eDelivery AS4/AS2 profile»: ανοικτή προδιαγραφή για την ασφαλή και αγνωστική ανταλλαγή δεδομένων μέσω υπηρεσιών παγκόσμιου ιστού (webservices) που βασίζεται στο πρότυπο ebMS 3.0 του φορέα OASIS,</w:t>
      </w:r>
    </w:p>
    <w:p>
      <w:pPr>
        <w:pStyle w:val="MainText"/>
        <w:spacing w:before="120" w:after="0"/>
        <w:rPr>
          <w:lang w:val="el" w:eastAsia="el"/>
        </w:rPr>
      </w:pPr>
      <w:r>
        <w:rPr>
          <w:b/>
          <w:bCs/>
          <w:lang w:val="el" w:eastAsia="el"/>
        </w:rPr>
        <w:t>6.</w:t>
      </w:r>
      <w:r>
        <w:rPr>
          <w:lang w:val="el" w:eastAsia="el"/>
        </w:rPr>
        <w:t xml:space="preserve"> «Organization for the Advancement of Structured Information Standards (OASIS)»: διεθνής μη κερδοσκοπική κοινοπραξία που ασχολείται με την ανάπτυξη, σύγκλιση και υιοθέτηση ανοικτών προτύπων για την ασφάλεια, το Διαδίκτυο των Πραγμάτων (Internet of Things), την ενέργεια, τις τεχνολογίες περιεχομένου, τη διαχείριση έκτακτων περιστατικών και άλλους τομείς,</w:t>
      </w:r>
    </w:p>
    <w:p>
      <w:pPr>
        <w:pStyle w:val="MainText"/>
        <w:spacing w:before="120" w:after="0"/>
        <w:rPr>
          <w:lang w:val="el" w:eastAsia="el"/>
        </w:rPr>
      </w:pPr>
      <w:r>
        <w:rPr>
          <w:b/>
          <w:bCs/>
          <w:lang w:val="el" w:eastAsia="el"/>
        </w:rPr>
        <w:t>7.</w:t>
      </w:r>
      <w:r>
        <w:rPr>
          <w:lang w:val="el" w:eastAsia="el"/>
        </w:rPr>
        <w:t xml:space="preserve"> «Σημείο Πρόσβασης (Access Point)»: κόμβος του δικτύου eDelivery για την πρόσβαση στα δεδομένα και έγγραφα που ανταλλάσσονται στο δίκτυο eDelivery με διαλειτουργικό, ασφαλή, αξιόπιστο και εμπιστευτικό τρόπο,</w:t>
      </w:r>
    </w:p>
    <w:p>
      <w:pPr>
        <w:pStyle w:val="MainText"/>
        <w:spacing w:before="120" w:after="0"/>
        <w:rPr>
          <w:lang w:val="el" w:eastAsia="el"/>
        </w:rPr>
      </w:pPr>
      <w:r>
        <w:rPr>
          <w:b/>
          <w:bCs/>
          <w:lang w:val="el" w:eastAsia="el"/>
        </w:rPr>
        <w:t>8.</w:t>
      </w:r>
      <w:r>
        <w:rPr>
          <w:lang w:val="el" w:eastAsia="el"/>
        </w:rPr>
        <w:t xml:space="preserve"> «Πιστοποιημένο Σημείο  Πρόσβασης»: το Σημείο Πρόσβασης που έχει πιστοποιηθεί από τον Οργανισμό OpenPEPPOL ή από συμβεβλημένη με αυτόν Εθνική Αρχή PEPPOL και παρέχει σχετικές υπηρεσίες διακίνησης ηλεκτρονικών δεδομένων και εγγράφων,</w:t>
      </w:r>
    </w:p>
    <w:p>
      <w:pPr>
        <w:pStyle w:val="MainText"/>
        <w:spacing w:before="120" w:after="0"/>
        <w:rPr>
          <w:lang w:val="el" w:eastAsia="el"/>
        </w:rPr>
      </w:pPr>
      <w:r>
        <w:rPr>
          <w:b/>
          <w:bCs/>
          <w:lang w:val="el" w:eastAsia="el"/>
        </w:rPr>
        <w:t>9.</w:t>
      </w:r>
      <w:r>
        <w:rPr>
          <w:lang w:val="el" w:eastAsia="el"/>
        </w:rPr>
        <w:t xml:space="preserve"> «Εθνική Αρχή PEPPOL (PEPPOL Authority)»: η Γενική Γραμματεία Πληροφοριακών Συστημάτων Δημόσιας Διοίκησης (Γ.Γ.Π.Σ.Δ.Δ.) του Υπουργείου Ψηφιακής Διακυβέρνησης, σύμφωνα με την παρ. 4 του άρθρου 28 του ν. 4623/2019 (Α΄134),</w:t>
      </w:r>
    </w:p>
    <w:p>
      <w:pPr>
        <w:pStyle w:val="MainText"/>
        <w:spacing w:before="120" w:after="0"/>
        <w:rPr>
          <w:lang w:val="el" w:eastAsia="el"/>
        </w:rPr>
      </w:pPr>
      <w:r>
        <w:rPr>
          <w:b/>
          <w:bCs/>
          <w:lang w:val="el" w:eastAsia="el"/>
        </w:rPr>
        <w:t>10.</w:t>
      </w:r>
      <w:r>
        <w:rPr>
          <w:lang w:val="el" w:eastAsia="el"/>
        </w:rPr>
        <w:t xml:space="preserve"> «Service Metadata Publisher (SMP)»: κόμβος του δικτύου eDelivery για την δημοσιοποίηση μεταδεδομένων σχετικά με τις προσφερόμενες στο δίκτυο eDelivery υπηρεσίες,</w:t>
      </w:r>
    </w:p>
    <w:p>
      <w:pPr>
        <w:pStyle w:val="MainText"/>
        <w:spacing w:before="120" w:after="0"/>
        <w:rPr>
          <w:lang w:val="el" w:eastAsia="el"/>
        </w:rPr>
      </w:pPr>
      <w:r>
        <w:rPr>
          <w:b/>
          <w:bCs/>
          <w:lang w:val="el" w:eastAsia="el"/>
        </w:rPr>
        <w:t>11.</w:t>
      </w:r>
      <w:r>
        <w:rPr>
          <w:lang w:val="el" w:eastAsia="el"/>
        </w:rPr>
        <w:t xml:space="preserve"> «Ευρωπαϊκός Μορφότυπος»: το ευρωπαϊκό πρότυπο έκδοσης ηλεκτρονικών τιμολογίων, όπως ορίζεται στην περ. 12 του άρθρου 149 του ν. 4601/2019,</w:t>
      </w:r>
    </w:p>
    <w:p>
      <w:pPr>
        <w:pStyle w:val="MainText"/>
        <w:spacing w:before="120" w:after="0"/>
        <w:rPr>
          <w:lang w:val="el" w:eastAsia="el"/>
        </w:rPr>
      </w:pPr>
      <w:r>
        <w:rPr>
          <w:b/>
          <w:bCs/>
          <w:lang w:val="el" w:eastAsia="el"/>
        </w:rPr>
        <w:t>12.</w:t>
      </w:r>
      <w:r>
        <w:rPr>
          <w:lang w:val="el" w:eastAsia="el"/>
        </w:rPr>
        <w:t xml:space="preserve"> «Εθνικός Μορφότυπος»: το περιεχόμενο και η μορφή του ηλεκτρονικού τιμολογίου στο πλαίσιο των εθνικών δημόσιων συμβάσεων, σύμφωνα με το ευρωπαϊκό πρότυπο έκδοσης ηλεκτρονικών τιμολογίων, όπως ειδικότερα καθορίζεται με την απόφαση της παρ. 1 του άρθρου 154 του ν. 4601/2019,</w:t>
      </w:r>
    </w:p>
    <w:p>
      <w:pPr>
        <w:pStyle w:val="MainText"/>
        <w:spacing w:before="120" w:after="0"/>
        <w:rPr>
          <w:lang w:val="el" w:eastAsia="el"/>
        </w:rPr>
      </w:pPr>
      <w:r>
        <w:rPr>
          <w:b/>
          <w:bCs/>
          <w:lang w:val="el" w:eastAsia="el"/>
        </w:rPr>
        <w:t>13.</w:t>
      </w:r>
      <w:r>
        <w:rPr>
          <w:lang w:val="el" w:eastAsia="el"/>
        </w:rPr>
        <w:t xml:space="preserve"> «Κέντρο Διαλειτουργικότητας (ΚΕΔ) της Γενικής Γραμματείας Πληροφοριακών Συστημάτων Δημόσιας Διοίκησης (Γ.Γ.Π.Σ.Δ.Δ.)»: Το πληροφοριακό σύστημα της Γ.Γ.Π.Σ.Δ.Δ. που έχει ως στόχο τη διασύνδεση των ηλεκτρονικών υπηρεσιών της Δημόσιας Διοίκησης, σύμφωνα με την υπ’ αριθμ. 118944 ΕΞ 23-10-2019 (Β’ 3990)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w:t>
      </w:r>
    </w:p>
    <w:p>
      <w:pPr>
        <w:pStyle w:val="MainText"/>
        <w:spacing w:before="120" w:after="0"/>
        <w:rPr>
          <w:lang w:val="el" w:eastAsia="el"/>
        </w:rPr>
      </w:pPr>
      <w:r>
        <w:rPr>
          <w:b/>
          <w:bCs/>
          <w:lang w:val="el" w:eastAsia="el"/>
        </w:rPr>
        <w:t>14.</w:t>
      </w:r>
      <w:r>
        <w:rPr>
          <w:lang w:val="el" w:eastAsia="el"/>
        </w:rPr>
        <w:t xml:space="preserve"> «Εφαρμογή Διάθεσης Ηλεκτρονικών Τιμολογίων (ΕΔΗΤ) της Γενικής Γραμματείας Πληροφοριακών Συστημάτων Δημόσιας Διοίκησης»: Πληροφοριακό σύστημα της Γ.Γ.Π.Σ.Δ.Δ. για τη διάθεση των εισερχόμενων ηλεκτρονικών τιμολογίων στις αναθέτουσες αρχές τόσο κατά την περίοδο τεχνικής προετοιμασίας και προσαρμογής των οικείων συστημάτων όσο και σε περιπτώσεις κατά τις οποίες λόγω τεχνικής αδυναμίας δεν μπορούν να παραλάβουν τα ηλεκτρονικά τιμολόγια στα οικεία πληροφοριακά τους συστήματα.</w:t>
      </w:r>
    </w:p>
    <w:p>
      <w:pPr>
        <w:pStyle w:val="MainText"/>
        <w:spacing w:before="120" w:after="0"/>
        <w:rPr>
          <w:lang w:val="el" w:eastAsia="el"/>
        </w:rPr>
      </w:pPr>
      <w:r>
        <w:rPr>
          <w:b/>
          <w:bCs/>
          <w:lang w:val="el" w:eastAsia="el"/>
        </w:rPr>
        <w:t>15.</w:t>
      </w:r>
      <w:r>
        <w:rPr>
          <w:lang w:val="el" w:eastAsia="el"/>
        </w:rPr>
        <w:t xml:space="preserve"> «Σημείο Πρόσβασης του Δημοσίου»: μοναδικό σημείο υποδοχής τιμολογίων για τις δημόσιες συμβάσεις και προμήθειες και κόμβος δρομολόγησης των στοιχείων τους στα πληροφοριακά συστήματα των αρμοδίων φορέων μέσω του Κέντρου Διαλειτουργικότητας, σύμφωνα με τα αναφερόμενα στην περ. ιε της παρ. 3 του άρθρου 28 του ν. 4623/2019,</w:t>
      </w:r>
    </w:p>
    <w:p>
      <w:pPr>
        <w:pStyle w:val="MainText"/>
        <w:spacing w:before="120" w:after="0"/>
        <w:rPr>
          <w:lang w:val="el" w:eastAsia="el"/>
        </w:rPr>
      </w:pPr>
      <w:r>
        <w:rPr>
          <w:b/>
          <w:bCs/>
          <w:lang w:val="el" w:eastAsia="el"/>
        </w:rPr>
        <w:t>16.</w:t>
      </w:r>
      <w:r>
        <w:rPr>
          <w:lang w:val="el" w:eastAsia="el"/>
        </w:rPr>
        <w:t xml:space="preserve"> «Εθνικό Σύστημα Ηλεκτρονικών Δημοσίων Συμβάσεων (ΕΣΗΔΗΣ)»: το Ολοκληρωμένο Πληροφοριακό Σύστημα (ΟΠΣ), το οποίο περιλαμβάνει όλα τα αναγκαία στοιχεία για τον προγραμματισμό και τη σύναψη δημοσίων συμβάσεων και συμβάσεων, όπως αυτές ορίζονται στην περ. 5 του άρθρου 2 του ν. 4412/2016, με τη χρήση και εφαρμογή Τεχνολογιών Πληροφορικής και Επικοινωνιών (ΤΠΕ),</w:t>
      </w:r>
    </w:p>
    <w:p>
      <w:pPr>
        <w:pStyle w:val="MainText"/>
        <w:spacing w:before="120" w:after="0"/>
        <w:rPr>
          <w:lang w:val="el" w:eastAsia="el"/>
        </w:rPr>
      </w:pPr>
      <w:r>
        <w:rPr>
          <w:b/>
          <w:bCs/>
          <w:lang w:val="el" w:eastAsia="el"/>
        </w:rPr>
        <w:t>17.</w:t>
      </w:r>
      <w:r>
        <w:rPr>
          <w:lang w:val="el" w:eastAsia="el"/>
        </w:rPr>
        <w:t xml:space="preserve"> «χρήστης του ΕΣΗΔΗΣ»: οι αναθέτουσες αρχές/ αναθέτοντες φορείς και οι οικονομικοί φορείς που χρησιμοποιούν το ΕΣΗΔΗΣ, σύμφωνα με το άρθρο 4 της υπ’ αρ. 56902/215/19.5.2017 απόφασης (Β΄ 1924/2017) του Υπουργού Οικονομίας και Ανάπτυξης και το άρθρο 4 της υπ’ αρ. 117384/26.10.2017 κοινής απόφασης (Β΄ 3821/2017) των Υπουργών Οικονομίας και Ανάπτυξης και Υποδομών και Μεταφορών, που αφορούν αμφότερες στη λειτουργία του ΕΣΗΔΗΣ,</w:t>
      </w:r>
    </w:p>
    <w:p>
      <w:pPr>
        <w:pStyle w:val="MainText"/>
        <w:spacing w:before="120" w:after="0"/>
        <w:rPr>
          <w:lang w:val="el" w:eastAsia="el"/>
        </w:rPr>
      </w:pPr>
      <w:r>
        <w:rPr>
          <w:b/>
          <w:bCs/>
          <w:lang w:val="el" w:eastAsia="el"/>
        </w:rPr>
        <w:t>18.</w:t>
      </w:r>
      <w:r>
        <w:rPr>
          <w:lang w:val="el" w:eastAsia="el"/>
        </w:rPr>
        <w:t xml:space="preserve"> «ηλεκτρονικό Πρόγραμμα Δημοσίων Επενδύσεων (e-ΠΔΕ)»: το Ολοκληρωμένο Πληροφοριακό Σύστημα του Υπουργείου Ανάπτυξης και Επενδύσεων μέσω του οποίου διενεργούνται όλες οι διαδικασίες υλοποίησης (κατάρτιση, χρηματοδότηση και πληρωμές) του Προϋπολογισμού Δημοσίων Επενδύσεων (ΠΔΕ),</w:t>
      </w:r>
    </w:p>
    <w:p>
      <w:pPr>
        <w:pStyle w:val="MainText"/>
        <w:spacing w:before="120" w:after="0"/>
        <w:rPr>
          <w:lang w:val="el" w:eastAsia="el"/>
        </w:rPr>
      </w:pPr>
      <w:r>
        <w:rPr>
          <w:b/>
          <w:bCs/>
          <w:lang w:val="el" w:eastAsia="el"/>
        </w:rPr>
        <w:t>19.</w:t>
      </w:r>
      <w:r>
        <w:rPr>
          <w:lang w:val="el" w:eastAsia="el"/>
        </w:rPr>
        <w:t xml:space="preserve"> «Ολοκληρωμένο Πληροφοριακό Σύστημα Δημοσιονομικής Πολιτικής (ΟΠΣΔΠ) και εφαρμογές», το πληροφοριακό σύστημα και το σύνολο των εφαρμογών που έχουν ως στόχο την πλήρη υποστήριξη των λειτουργιών δημοσιονομικής διαχείρισης σε όλη την κεντρική διοίκηση (Υπουργεία, Αποκεντρωμένες Διοικήσεις, Ανεξάρτητες Διοικητικές Αρχές χωρίς νομική προσωπικότητα),</w:t>
      </w:r>
    </w:p>
    <w:p>
      <w:pPr>
        <w:pStyle w:val="MainText"/>
        <w:spacing w:before="120" w:after="0"/>
        <w:rPr>
          <w:lang w:val="el" w:eastAsia="el"/>
        </w:rPr>
      </w:pPr>
      <w:r>
        <w:rPr>
          <w:b/>
          <w:bCs/>
          <w:lang w:val="el" w:eastAsia="el"/>
        </w:rPr>
        <w:t>20.</w:t>
      </w:r>
      <w:r>
        <w:rPr>
          <w:lang w:val="el" w:eastAsia="el"/>
        </w:rPr>
        <w:t xml:space="preserve"> «διαδικτυακές υπηρεσίες (web services)»: υπηρεσίες ανταλλαγής δεδομένων μεταξύ πληροφοριακών συστημάτων και εφαρμογών μέσω του Διαδικτύου,</w:t>
      </w:r>
    </w:p>
    <w:p>
      <w:pPr>
        <w:pStyle w:val="MainText"/>
        <w:spacing w:before="120" w:after="0"/>
        <w:rPr>
          <w:lang w:val="el" w:eastAsia="el"/>
        </w:rPr>
      </w:pPr>
      <w:r>
        <w:rPr>
          <w:b/>
          <w:bCs/>
          <w:lang w:val="el" w:eastAsia="el"/>
        </w:rPr>
        <w:t>21.</w:t>
      </w:r>
      <w:r>
        <w:rPr>
          <w:lang w:val="el" w:eastAsia="el"/>
        </w:rPr>
        <w:t xml:space="preserve"> «παραλαβή τιμολογίου»: η λήψη από τον αγοραστή του ηλεκτρονικού τιμολογίου του πωλητή σύμφωνα με την υποπαρ. Ζ5 του ν. 4152/2013 (Α΄107),</w:t>
      </w:r>
    </w:p>
    <w:p>
      <w:pPr>
        <w:pStyle w:val="MainText"/>
        <w:spacing w:before="120" w:after="0"/>
        <w:rPr>
          <w:lang w:val="el" w:eastAsia="el"/>
        </w:rPr>
      </w:pPr>
      <w:r>
        <w:rPr>
          <w:b/>
          <w:bCs/>
          <w:lang w:val="el" w:eastAsia="el"/>
        </w:rPr>
        <w:t>22.</w:t>
      </w:r>
      <w:r>
        <w:rPr>
          <w:lang w:val="el" w:eastAsia="el"/>
        </w:rPr>
        <w:t xml:space="preserve"> «μη κεντρικές αναθέτουσες αρχές»: οι αναθέτουσες αρχές, όπως ορίζονται στην περίπτωση 3 της παρ. 1 του άρθρου 2 του ν. 4412/2016,</w:t>
      </w:r>
    </w:p>
    <w:p>
      <w:pPr>
        <w:pStyle w:val="MainText"/>
        <w:spacing w:before="120" w:after="0"/>
        <w:rPr>
          <w:lang w:val="el" w:eastAsia="el"/>
        </w:rPr>
      </w:pPr>
      <w:r>
        <w:rPr>
          <w:b/>
          <w:bCs/>
          <w:lang w:val="el" w:eastAsia="el"/>
        </w:rPr>
        <w:t>23.</w:t>
      </w:r>
      <w:r>
        <w:rPr>
          <w:lang w:val="el" w:eastAsia="el"/>
        </w:rPr>
        <w:t xml:space="preserve"> «κεντρικές κυβερνητικές αρχές» νοούνται οι αναθέτουσες αρχές που περιλαμβάνονται στο Παράρτημα I του Προσαρτήματος Α΄ του ν. 4412/2016 και, εφόσον έχουν επέλθει διορθώσεις ή τροποποιήσεις, οι φορείς που τις έχουν διαδεχθεί,</w:t>
      </w:r>
    </w:p>
    <w:p>
      <w:pPr>
        <w:pStyle w:val="MainText"/>
        <w:spacing w:before="120" w:after="0"/>
        <w:rPr>
          <w:lang w:val="el" w:eastAsia="el"/>
        </w:rPr>
      </w:pPr>
      <w:r>
        <w:rPr>
          <w:b/>
          <w:bCs/>
          <w:lang w:val="el" w:eastAsia="el"/>
        </w:rPr>
        <w:t>24.</w:t>
      </w:r>
      <w:r>
        <w:rPr>
          <w:lang w:val="el" w:eastAsia="el"/>
        </w:rPr>
        <w:t xml:space="preserve"> «κεντρικές αρχές αγορών» (ΚΑΑ): νοούνται οι αναθέτουσες αρχές της υποπερ. α΄ της περ. 17 της παρ. 1 του άρθρου 2 του ν. 4412/2016,</w:t>
      </w:r>
    </w:p>
    <w:p>
      <w:pPr>
        <w:pStyle w:val="MainText"/>
        <w:spacing w:before="120" w:after="0"/>
        <w:rPr>
          <w:lang w:val="el" w:eastAsia="el"/>
        </w:rPr>
      </w:pPr>
      <w:r>
        <w:rPr>
          <w:b/>
          <w:bCs/>
          <w:lang w:val="el" w:eastAsia="el"/>
        </w:rPr>
        <w:t>25.</w:t>
      </w:r>
      <w:r>
        <w:rPr>
          <w:lang w:val="el" w:eastAsia="el"/>
        </w:rPr>
        <w:t xml:space="preserve"> «αναθέτοντες φορείς»: οι αναθέτοντες φορείς, όπως ορίζονται στην υποπερίπτωση β’ της περίπτωσης 1 της παρ. 1 του άρθρου 2 του ν. 4412/2016 και στο άρθρο 4 του ν. 4413/2016,</w:t>
      </w:r>
    </w:p>
    <w:p>
      <w:pPr>
        <w:pStyle w:val="MainText"/>
        <w:spacing w:before="120" w:after="0"/>
        <w:rPr>
          <w:lang w:val="el" w:eastAsia="el"/>
        </w:rPr>
      </w:pPr>
      <w:r>
        <w:rPr>
          <w:b/>
          <w:bCs/>
          <w:lang w:val="el" w:eastAsia="el"/>
        </w:rPr>
        <w:t>26.</w:t>
      </w:r>
      <w:r>
        <w:rPr>
          <w:lang w:val="el" w:eastAsia="el"/>
        </w:rPr>
        <w:t xml:space="preserve"> «πωλητής»: ο οικονομικός φορέας, όπως ορίζεται στην περ. 13 του άρθρου 149 του ν. 4601/2019 και</w:t>
      </w:r>
    </w:p>
    <w:p>
      <w:pPr>
        <w:pStyle w:val="MainText"/>
        <w:spacing w:before="120" w:after="0"/>
        <w:rPr>
          <w:lang w:val="el" w:eastAsia="el"/>
        </w:rPr>
      </w:pPr>
      <w:r>
        <w:rPr>
          <w:b/>
          <w:bCs/>
          <w:lang w:val="el" w:eastAsia="el"/>
        </w:rPr>
        <w:t>27.</w:t>
      </w:r>
      <w:r>
        <w:rPr>
          <w:lang w:val="el" w:eastAsia="el"/>
        </w:rPr>
        <w:t xml:space="preserve"> «αγοραστής»: η αναθέτουσα αρχή και ο αναθέτων φορέας, όπως ορίζονται στην περ. 14 του άρθρου 149 του ν. 4601/2019.</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Αρχιτεκτονική και τεχνικές προϋποθέσεις ασφάλειας και προστασίας δεδομένων, απαιτήσεις διαλειτουργικότητας και διασύνδεσης</w:t>
      </w:r>
    </w:p>
    <w:p>
      <w:pPr>
        <w:pStyle w:val="MainText"/>
        <w:spacing w:before="120" w:after="0"/>
        <w:rPr>
          <w:lang w:val="el" w:eastAsia="el"/>
        </w:rPr>
      </w:pPr>
      <w:r>
        <w:rPr>
          <w:b/>
          <w:bCs/>
          <w:lang w:val="el" w:eastAsia="el"/>
        </w:rPr>
        <w:t>1.</w:t>
      </w:r>
      <w:r>
        <w:rPr>
          <w:lang w:val="el" w:eastAsia="el"/>
        </w:rPr>
        <w:t xml:space="preserve"> Δημιουργείται δίκτυο διακίνησης των ηλεκτρονικών τιμολογίων δημοσίων συμβάσεων, εφεξής «Δίκτυο», το οποίο αποτελεί δίκτυο eDelivery και στο οποίο γίνεται χρήση τεχνουργημάτων και τεχνικών προδιαγραφών του PEPPOL, προκειμένου να επιτυγχάνεται η διαλειτουργική, ασφαλής, αξιόπιστη και εμπιστευτική μετάδοση δεδομένων και εγγράφων που αφορούν στην ηλεκτρονική τιμολόγηση κατ’ εφαρμογή της παρούσης.</w:t>
      </w:r>
    </w:p>
    <w:p>
      <w:pPr>
        <w:pStyle w:val="MainText"/>
        <w:spacing w:before="120" w:after="0"/>
        <w:rPr>
          <w:lang w:val="el" w:eastAsia="el"/>
        </w:rPr>
      </w:pPr>
      <w:r>
        <w:rPr>
          <w:b/>
          <w:bCs/>
          <w:lang w:val="el" w:eastAsia="el"/>
        </w:rPr>
        <w:t>2.</w:t>
      </w:r>
      <w:r>
        <w:rPr>
          <w:lang w:val="el" w:eastAsia="el"/>
        </w:rPr>
        <w:t xml:space="preserve"> Το Δίκτυο συμμορφώνεται με τους υποχρεωτικούς κανόνες και πρότυπα σχεδιασμού, ανάπτυξης και λειτουργίας πληροφοριακών συστημάτων και διαδικτυακών τόπων, σύμφωνα με τα προβλεπόμενα του Παραρτήματος Ι της υπ΄ αρ. ΥΑΠ/Φ.40.4/1/989/10.4.2012 (Β΄ 1301/2012) απόφασης του Υφυπουργού Διοικητικής Μεταρρύθμισης και Ηλεκτρονικής Διακυβέρνησης «Κύρωση Πλαισίου Παροχής Υπηρεσιών Ηλεκτρονικής Διακυβέρνησης» και το Π.Δ. 25/2014 (Α΄ 44) «Ηλεκτρονικό Αρχείο και Ψηφιοποίηση εγγράφων».</w:t>
      </w:r>
    </w:p>
    <w:p>
      <w:pPr>
        <w:pStyle w:val="MainText"/>
        <w:spacing w:before="120" w:after="0"/>
        <w:rPr>
          <w:lang w:val="el" w:eastAsia="el"/>
        </w:rPr>
      </w:pPr>
      <w:r>
        <w:rPr>
          <w:b/>
          <w:bCs/>
          <w:lang w:val="el" w:eastAsia="el"/>
        </w:rPr>
        <w:t>3.</w:t>
      </w:r>
      <w:r>
        <w:rPr>
          <w:lang w:val="el" w:eastAsia="el"/>
        </w:rPr>
        <w:t xml:space="preserve"> Στο Δίκτυο τα θέματα ασφαλείας και προστασίας των προσωπικών δεδομένων αντιμετωπίζονται σύμφωνα με τα οριζόμενα στις παραγράφους 11 και 13 του Παραρτήματος Ι της ΥΑΠ/Φ.40.4/1/989/10.4.2012 (Β΄ 1301/2012) «Κύρωση Πλαισίου Παροχής Υπηρεσιών Ηλεκτρονικής Διακυβέρνησης».</w:t>
      </w:r>
    </w:p>
    <w:p>
      <w:pPr>
        <w:pStyle w:val="MainText"/>
        <w:spacing w:before="120" w:after="0"/>
        <w:rPr>
          <w:lang w:val="el" w:eastAsia="el"/>
        </w:rPr>
      </w:pPr>
      <w:r>
        <w:rPr>
          <w:b/>
          <w:bCs/>
          <w:lang w:val="el" w:eastAsia="el"/>
        </w:rPr>
        <w:t>4.</w:t>
      </w:r>
      <w:r>
        <w:rPr>
          <w:lang w:val="el" w:eastAsia="el"/>
        </w:rPr>
        <w:t xml:space="preserve"> Το Δίκτυο ακολουθεί κανόνες και πρότυπα για τη διαλειτουργικότητα με τρίτα πληροφοριακά συστήματα φορέων, σύμφωνα με το Παράρτημα II της υπ΄αρ. ΥΑΠ/Φ.40.4/1/989/10.4.2012 Β΄ 1301/2012) απόφασης του Υφυπουργού Διοικητικής Μεταρρύθμισης και Ηλεκτρονικής Διακυβέρνησης «Κύρωση Πλαισίου Παροχής Υπηρεσιών Ηλεκτρονικής Διακυβέρνησης».</w:t>
      </w:r>
    </w:p>
    <w:p>
      <w:pPr>
        <w:pStyle w:val="MainText"/>
        <w:spacing w:before="120" w:after="0"/>
        <w:rPr>
          <w:lang w:val="el" w:eastAsia="el"/>
        </w:rPr>
      </w:pPr>
      <w:r>
        <w:rPr>
          <w:b/>
          <w:bCs/>
          <w:lang w:val="el" w:eastAsia="el"/>
        </w:rPr>
        <w:t>5.</w:t>
      </w:r>
      <w:r>
        <w:rPr>
          <w:lang w:val="el" w:eastAsia="el"/>
        </w:rPr>
        <w:t xml:space="preserve"> Ειδικότερα η ανταλλαγή πληροφοριών στο Δίκτυο είναι σύμφωνη με τις προδιαγραφές eDelivery AS4/AS2 profile και τις απαιτήσεις ασφαλείας του Εκτελεστικού Κανονισμού eIDAS της ΕΕ, εφαρμόζοντας τοπολογία δικτύου τεσσάρων γωνιών (4-corner model) και χρήση ψηφιακών πιστοποιητικών για υπογραφή και κρυπτογράφηση βάσει του προτύπου PEPPOL.</w:t>
      </w:r>
    </w:p>
    <w:p>
      <w:pPr>
        <w:pStyle w:val="MainText"/>
        <w:spacing w:before="120" w:after="0"/>
        <w:rPr>
          <w:lang w:val="el" w:eastAsia="el"/>
        </w:rPr>
      </w:pPr>
      <w:r>
        <w:rPr>
          <w:b/>
          <w:bCs/>
          <w:lang w:val="el" w:eastAsia="el"/>
        </w:rPr>
        <w:t>6.</w:t>
      </w:r>
      <w:r>
        <w:rPr>
          <w:lang w:val="el" w:eastAsia="el"/>
        </w:rPr>
        <w:t xml:space="preserve"> Στο Κέντρο Διαλειτουργικότητας (ΚΕΔ) της Γενικής Γραμματείας Πληροφοριακών Συστημάτων Δημόσιας Διοίκησης (Γ.Γ.Π.Σ.Δ.Δ.) υλοποιείται ενιαίο Σημείο Πρόσβασης του Δημοσίου, το οποίο υποδέχεται, ελέγχει τεχνικά, αποθηκεύει και δρομολογεί το ηλεκτρονικό τιμολόγιο, με τη χρήση διαδικτυακών υπηρεσιών σε όποιο πληροφοριακό σύστημα απαιτείται.</w:t>
      </w:r>
    </w:p>
    <w:p>
      <w:pPr>
        <w:pStyle w:val="MainText"/>
        <w:spacing w:before="120" w:after="0"/>
        <w:rPr>
          <w:lang w:val="el" w:eastAsia="el"/>
        </w:rPr>
      </w:pPr>
      <w:r>
        <w:rPr>
          <w:b/>
          <w:bCs/>
          <w:lang w:val="el" w:eastAsia="el"/>
        </w:rPr>
        <w:t>7.</w:t>
      </w:r>
      <w:r>
        <w:rPr>
          <w:lang w:val="el" w:eastAsia="el"/>
        </w:rPr>
        <w:t xml:space="preserve"> Οι απαιτήσεις διαλειτουργικότητας με το ΚΕΔ ορίζονται στην υπ’ αρ. 118944 ΕΞ 23-10-2019 (Β’ 3990/2019)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Επιχειρησιακή Λειτουργία του Δικτύου</w:t>
      </w:r>
    </w:p>
    <w:p>
      <w:pPr>
        <w:pStyle w:val="MainText"/>
        <w:spacing w:before="120" w:after="0"/>
        <w:rPr>
          <w:lang w:val="el" w:eastAsia="el"/>
        </w:rPr>
      </w:pPr>
      <w:r>
        <w:rPr>
          <w:b/>
          <w:bCs/>
          <w:lang w:val="el" w:eastAsia="el"/>
        </w:rPr>
        <w:t>1.</w:t>
      </w:r>
      <w:r>
        <w:rPr>
          <w:lang w:val="el" w:eastAsia="el"/>
        </w:rPr>
        <w:t xml:space="preserve"> Σκοπός του Δικτύου του άρθρου 3 είναι η μετάδοση στοιχείων ηλεκτρονικής τιμολόγησης δημοσίων συμβάσεων μεταξύ των εμπλεκόμενων φορέων, στο πλαίσιο του πεδίου εφαρμογής του άρθρου 1, με τρόπο διαλειτουργικό, ασφαλή, αξιόπιστο και εμπιστευτικό.</w:t>
      </w:r>
    </w:p>
    <w:p>
      <w:pPr>
        <w:pStyle w:val="MainText"/>
        <w:spacing w:before="120" w:after="0"/>
        <w:rPr>
          <w:lang w:val="el" w:eastAsia="el"/>
        </w:rPr>
      </w:pPr>
      <w:r>
        <w:rPr>
          <w:b/>
          <w:bCs/>
          <w:lang w:val="el" w:eastAsia="el"/>
        </w:rPr>
        <w:t>2.</w:t>
      </w:r>
      <w:r>
        <w:rPr>
          <w:lang w:val="el" w:eastAsia="el"/>
        </w:rPr>
        <w:t xml:space="preserve"> Η εισαγωγή ηλεκτρονικών τιμολογίων στο Δίκτυο γίνεται μέσω των Πιστοποιημένων Σημείων Πρόσβασης του Δικτύου.</w:t>
      </w:r>
    </w:p>
    <w:p>
      <w:pPr>
        <w:pStyle w:val="MainText"/>
        <w:spacing w:before="120" w:after="0"/>
        <w:rPr>
          <w:lang w:val="el" w:eastAsia="el"/>
        </w:rPr>
      </w:pPr>
      <w:r>
        <w:rPr>
          <w:b/>
          <w:bCs/>
          <w:lang w:val="el" w:eastAsia="el"/>
        </w:rPr>
        <w:t>3.</w:t>
      </w:r>
      <w:r>
        <w:rPr>
          <w:lang w:val="el" w:eastAsia="el"/>
        </w:rPr>
        <w:t xml:space="preserve"> Η αποστολή ηλεκτρονικού τιμολογίου προς το Σημείο Πρόσβασης του Δημοσίου πραγματοποιείται μόνο από άλλο Σημείο Πρόσβασης του Δικτύου.</w:t>
      </w:r>
    </w:p>
    <w:p>
      <w:pPr>
        <w:pStyle w:val="MainText"/>
        <w:spacing w:before="120" w:after="0"/>
        <w:rPr>
          <w:lang w:val="el" w:eastAsia="el"/>
        </w:rPr>
      </w:pPr>
      <w:r>
        <w:rPr>
          <w:b/>
          <w:bCs/>
          <w:lang w:val="el" w:eastAsia="el"/>
        </w:rPr>
        <w:t>4.</w:t>
      </w:r>
      <w:r>
        <w:rPr>
          <w:lang w:val="el" w:eastAsia="el"/>
        </w:rPr>
        <w:t xml:space="preserve"> Κατά την υποδοχή του ηλεκτρονικού τιμολογίου από το Σημείο Πρόσβασης του Δημοσίου πραγματοποιούνται αυτόματα οι εξής κατ’ελάχιστον έλεγχοι ως προς:</w:t>
      </w:r>
    </w:p>
    <w:p>
      <w:pPr>
        <w:spacing w:before="240" w:after="240"/>
        <w:rPr>
          <w:lang w:val="el" w:eastAsia="el"/>
        </w:rPr>
      </w:pPr>
      <w:r>
        <w:rPr>
          <w:lang w:val="el" w:eastAsia="el"/>
        </w:rPr>
        <w:t>• Τη δομή του και την ορθότητα/ακεραιότητα των πεδίων του,</w:t>
      </w:r>
    </w:p>
    <w:p>
      <w:pPr>
        <w:spacing w:before="240" w:after="240"/>
        <w:rPr>
          <w:lang w:val="el" w:eastAsia="el"/>
        </w:rPr>
      </w:pPr>
      <w:r>
        <w:rPr>
          <w:lang w:val="el" w:eastAsia="el"/>
        </w:rPr>
        <w:t>• Τη συμβατότητά του με τον Ευρωπαϊκό και τον Εθνικό Μορφότυπο και</w:t>
      </w:r>
    </w:p>
    <w:p>
      <w:pPr>
        <w:spacing w:before="240" w:after="240"/>
        <w:rPr>
          <w:lang w:val="el" w:eastAsia="el"/>
        </w:rPr>
      </w:pPr>
      <w:r>
        <w:rPr>
          <w:lang w:val="el" w:eastAsia="el"/>
        </w:rPr>
        <w:t>• Την εγκυρότητα αποστολής του.</w:t>
      </w:r>
    </w:p>
    <w:p>
      <w:pPr>
        <w:spacing w:before="240" w:after="240"/>
        <w:rPr>
          <w:lang w:val="el" w:eastAsia="el"/>
        </w:rPr>
      </w:pPr>
      <w:r>
        <w:rPr>
          <w:lang w:val="el" w:eastAsia="el"/>
        </w:rPr>
        <w:t>Σε περίπτωση μη συμμόρφωσης του ηλεκτρονικού τιμολογίου με τις απαιτήσεις των ανωτέρω αυτομάτων ελέγχων, αυτό χαρακτηρίζεται ως απορριπτέο και αποστέλλεται σχετικό αυτοματοποιημένο μήνυμα πληροφόρησης στον πωλητή μέσω του Πιστοποιημένου Σημείου Πρόσβασης. Το ηλεκτρονικό τιμολόγιο και το σύνολο των δεδομένων που πιστοποιούν τη διακίνησή του, καθώς και των μηνυμάτων που ενημερώνουν για την αλλαγή κατάστασής του αποθηκεύονται στο ΚΕΔ και είναι άμεσα διαθέσιμα για χρονικό διάστημα πέντε (5) ετών. Μετά την παρέλευση των πέντε (5) ετών, θα είναι διαθέσιμα έως πέντε (5) επιπλέον έτη σε όποιον έχει έννομο συμφέρον, κατόπιν σχετικού αιτήματός του εντός δύο (2) εργάσιμων ημερών, με την επιφύλαξη των διατάξεων του άρθρου 93 του ν. 4129/2013.</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5.</w:t>
      </w:r>
      <w:r>
        <w:rPr>
          <w:lang w:val="el" w:eastAsia="el"/>
        </w:rPr>
        <w:t xml:space="preserve"> Τα ηλεκτρονικά τιμολόγια και τα στοιχεία αυτών τηρούνται στα οικεία πληροφοριακά συστήματα των αρμοδίων υπηρεσιών, σύμφωνα με τις κείμενες διατάξεις.</w:t>
      </w:r>
    </w:p>
    <w:p>
      <w:pPr>
        <w:pStyle w:val="MainText"/>
        <w:spacing w:before="120" w:after="0"/>
        <w:rPr>
          <w:lang w:val="el" w:eastAsia="el"/>
        </w:rPr>
      </w:pPr>
      <w:r>
        <w:rPr>
          <w:b/>
          <w:bCs/>
          <w:lang w:val="el" w:eastAsia="el"/>
        </w:rPr>
        <w:t>6.</w:t>
      </w:r>
      <w:r>
        <w:rPr>
          <w:lang w:val="el" w:eastAsia="el"/>
        </w:rPr>
        <w:t xml:space="preserve"> Το αποδεκτό ηλεκτρονικό τιμολόγιο δρομολογείται αυτόματα από το ΚΕΔ προς τον αγοραστή μέσω διαδικτυακών υπηρεσιών. Η δρομολόγηση πραγματοποιείται προς εκείνα τα πληροφοριακά συστήματα, τρίτα ως προς το Δίκτυο, τα οποία χρησιμοποιεί ο αγοραστής για τη διενέργεια διαγωνιστικών διαδικασιών ή/και τη σύναψη/ παρακολούθησης σύμβασης, την οικονομική διαχείριση ή/και την πληρωμή της σύμβασης. Η δρομολόγηση αυτή πραγματοποιείται αυτόματα με προώθησή του («push»), ενώ παρέχεται και η δυνατότητα αυτόματης ανταπόκρισης σε ηλεκτρονικό αίτημα αποστολής του («pull»).</w:t>
      </w:r>
    </w:p>
    <w:p>
      <w:pPr>
        <w:pStyle w:val="MainText"/>
        <w:spacing w:before="120" w:after="0"/>
        <w:rPr>
          <w:lang w:val="el" w:eastAsia="el"/>
        </w:rPr>
      </w:pPr>
      <w:r>
        <w:rPr>
          <w:b/>
          <w:bCs/>
          <w:lang w:val="el" w:eastAsia="el"/>
        </w:rPr>
        <w:t>7.</w:t>
      </w:r>
      <w:r>
        <w:rPr>
          <w:lang w:val="el" w:eastAsia="el"/>
        </w:rPr>
        <w:t xml:space="preserve"> Τα ηλεκτρονικά τιμολόγια και τα στοιχεία αυτών δύναται να είναι διαθέσιμα σε ελεγκτικούς μηχανισμούς και φορείς στο πλαίσιο άσκησης των αρμοδιοτήτων τους.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Διαδικασίες παραλαβής, επεξεργασίας τιμολογίων και πληρωμής</w:t>
      </w:r>
    </w:p>
    <w:p>
      <w:pPr>
        <w:pStyle w:val="MainText"/>
        <w:spacing w:before="120" w:after="0"/>
        <w:rPr>
          <w:lang w:val="el" w:eastAsia="el"/>
        </w:rPr>
      </w:pPr>
      <w:r>
        <w:rPr>
          <w:b/>
          <w:bCs/>
          <w:lang w:val="el" w:eastAsia="el"/>
        </w:rPr>
        <w:t>1.</w:t>
      </w:r>
      <w:r>
        <w:rPr>
          <w:lang w:val="el" w:eastAsia="el"/>
        </w:rPr>
        <w:t xml:space="preserve"> Οι αγοραστές λαμβάνουν από το ΚΕΔ τα ηλεκτρονικά τιμολόγια στα πληροφοριακά τους συστήματα, σύμφωνα με την περίπτωση (ιε) της παραγράφου 3 του άρθρου 28 του ν. 4623/2019 (Α΄ 134).</w:t>
      </w:r>
    </w:p>
    <w:p>
      <w:pPr>
        <w:pStyle w:val="MainText"/>
        <w:spacing w:before="120" w:after="0"/>
        <w:rPr>
          <w:lang w:val="el" w:eastAsia="el"/>
        </w:rPr>
      </w:pPr>
      <w:r>
        <w:rPr>
          <w:b/>
          <w:bCs/>
          <w:lang w:val="el" w:eastAsia="el"/>
        </w:rPr>
        <w:t>2.</w:t>
      </w:r>
      <w:r>
        <w:rPr>
          <w:lang w:val="el" w:eastAsia="el"/>
        </w:rPr>
        <w:t xml:space="preserve"> Η επιτυχής, από τεχνικής απόψεως, παραλαβή των ηλεκτρονικών τιμολογίων από τα ανωτέρω πληροφοριακά συστήματα, χρονοσημαίνεται και επισημαίνεται με αυτοματοποιημένο μήνυμα πληροφόρησης που αποστέλλεται στον πωλητή μέσω του ΚΕΔ και εκκινεί τις προθεσμίες των διατάξεων της υποπαρ. Ζ.5 της παρ. Ζ του ν. 4152/2013 (Α΄ 107).</w:t>
      </w:r>
    </w:p>
    <w:p>
      <w:pPr>
        <w:pStyle w:val="MainText"/>
        <w:spacing w:before="120" w:after="0"/>
        <w:rPr>
          <w:lang w:val="el" w:eastAsia="el"/>
        </w:rPr>
      </w:pPr>
      <w:r>
        <w:rPr>
          <w:b/>
          <w:bCs/>
          <w:lang w:val="el" w:eastAsia="el"/>
        </w:rPr>
        <w:t>3.</w:t>
      </w:r>
      <w:r>
        <w:rPr>
          <w:lang w:val="el" w:eastAsia="el"/>
        </w:rPr>
        <w:t xml:space="preserve"> Σε περίπτωση προσωρινής τεχνικής αδυναμίας παραλαβής του ηλεκτρονικού τιμολογίου από τα ανωτέρω πληροφοριακά συστήματα, οι αγοραστές παραλαμβάνουν τα ηλεκτρονικά τιμολόγια στο, για το σκοπό αυτό, πληροφοριακό υποσύστημα ΕΔΗΤ. Η τεχνική αδυναμία παραλαβής του ηλεκτρονικού τιμολογίου κατά τα ανωτέρω, πιστοποιείται από τη Γ.Γ.Π.Σ.Δ.Δ., η οποία παρέχει σε κάθε περίπτωση τις απαραίτητες οδηγίες στους αγοραστές για την παραλαβή των τιμολογίων μέσω του ανωτέρω πληροφοριακού υποσυστήματός της. Στην περίπτωση αυτή, οι προθεσμίες των διατάξεων της υποπαρ. Ζ.5 της παρ. Ζ του ν. 4152/2013 (Α΄ 107), εκκινούν από την ημερομηνία που το ηλεκτρονικό τιμολόγιο καθίσταται διαθέσιμο στον αγοραστή μέσω του ΕΔΗΤ. Σε συνέχεια της παραλαβής του τιμολογίου και στην περίπτωση που ο αγοραστής διαπιστώσει ότι το περιεχόμενο του τιμολογίου δεν είναι σύμφωνο με τους όρους της σύμβασης αποστέλλει μήνυμα ειδοποίησης προς τον πωλητή, διαμέσου του ΚΕΔ προκειμένου ο τελευταίος να εκδώσει πιστωτικό ηλεκτρονικό τιμολόγιο. Το ΚΕΔ ταυτόχρονα προωθεί την εν λόγω ειδοποίηση στα εμπλεκόμενα πληροφοριακά συστήματα.</w:t>
      </w:r>
    </w:p>
    <w:p>
      <w:pPr>
        <w:pStyle w:val="MainText"/>
        <w:spacing w:before="120" w:after="0"/>
        <w:rPr>
          <w:lang w:val="el" w:eastAsia="el"/>
        </w:rPr>
      </w:pPr>
      <w:r>
        <w:rPr>
          <w:b/>
          <w:bCs/>
          <w:lang w:val="el" w:eastAsia="el"/>
        </w:rPr>
        <w:t>4.</w:t>
      </w:r>
      <w:r>
        <w:rPr>
          <w:lang w:val="el" w:eastAsia="el"/>
        </w:rPr>
        <w:t xml:space="preserve"> Σε περίπτωση μη εφαρμογής της διαδικασίας ηλεκτρονικής διακίνησης δικαιολογητικών του άρθρου 69ΣΤ του ν. 4270/2014, η αναθέτουσα αρχή η οποία πραγματοποιεί τη δαπάνη, αναγράφει στην κατάσταση πληρωμής τον μοναδικό αριθμό του ηλεκτρονικού τιμολογίου με τον οποίο η οικονομική υπηρεσία του φορέα Γενικής Κυβέρνησης το αναζητά ως δικαιολογητικό της δαπάνης με τη χρήση διαδικτυακών υπηρεσιών από το ΚΕΔ ή στο ΕΔΗΤ στις περιπτώσεις της παρ. 3 του παρόντος άρθρου και της παρ. 1 του άρθρου 6.</w:t>
      </w:r>
    </w:p>
    <w:p>
      <w:pPr>
        <w:pStyle w:val="MainText"/>
        <w:spacing w:before="120" w:after="0"/>
        <w:rPr>
          <w:lang w:val="el" w:eastAsia="el"/>
        </w:rPr>
      </w:pPr>
      <w:r>
        <w:rPr>
          <w:b/>
          <w:bCs/>
          <w:lang w:val="el" w:eastAsia="el"/>
        </w:rPr>
        <w:t>5.</w:t>
      </w:r>
      <w:r>
        <w:rPr>
          <w:lang w:val="el" w:eastAsia="el"/>
        </w:rPr>
        <w:t xml:space="preserve"> Μετά την ολοκλήρωση της διαδικασίας πληρωμής του ηλεκτρονικού τιμολογίου από την αρμόδια υπηρεσία του αγοραστή, το ΚΕΔ άμεσα ενημερώνεται ηλεκτρονικά για την ολοκλήρωση της πληρωμής του τιμολογίου και στη συνέχεια ενημερώνει αυτόματα τόσο τα εμπλεκόμενα πληροφοριακά συστήματα όσο και τον πωλητή.</w:t>
      </w:r>
    </w:p>
    <w:p>
      <w:pPr>
        <w:pStyle w:val="MainText"/>
        <w:spacing w:before="120" w:after="0"/>
        <w:rPr>
          <w:lang w:val="el" w:eastAsia="el"/>
        </w:rPr>
      </w:pPr>
      <w:r>
        <w:rPr>
          <w:b/>
          <w:bCs/>
          <w:lang w:val="el" w:eastAsia="el"/>
        </w:rPr>
        <w:t>6.</w:t>
      </w:r>
      <w:r>
        <w:rPr>
          <w:lang w:val="el" w:eastAsia="el"/>
        </w:rPr>
        <w:t xml:space="preserve"> Η οπτικοποιημένη μορφή του ηλεκτρονικού τιμολογίου δύναται να αποθηκεύεται σε ηλεκτρονικό αρχείο μορφότυπου PDF, ενώ ως πρωτότυπο ηλεκτρονικό τιμολόγιο νοείται το τιμολόγιο σε ηλεκτρονική μορφή βάσει του Ευρωπαϊκού ή Εθνικού Μορφότυπου και μόνο.</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της παρούσας και το αργότερο μέχρι 31/12/2020, οι Αναθέτουσες Αρχές/Αναθέτοντες Φορείς οφείλουν να προβούν στις απαραίτητες προσαρμογές των οικείων πληροφοριακών τους συστημάτων. Μέχρι να ολοκληρωθούν οι απαραίτητες προσαρμογές και σε κάθε περίπτωση το αργότερο μέχρι την ανωτέρω ημερομηνία οι Αναθέτουσες Αρχές/Αναθέτοντες Φορείς δύναται να χρησιμοποιούν την Εφαρμογή Διάθεσης Ηλεκτρονικών Τιμολογίων (ΕΔΗΤ) της Γενικής Γραμματείας Πληροφοριακών Συστημάτων Δημόσιας Διοίκησης  (ΓΓΠΣΔΔ).</w:t>
      </w:r>
    </w:p>
    <w:p>
      <w:pPr>
        <w:pStyle w:val="MainText"/>
        <w:spacing w:before="120" w:after="0"/>
        <w:rPr>
          <w:lang w:val="el" w:eastAsia="el"/>
        </w:rPr>
      </w:pPr>
      <w:r>
        <w:rPr>
          <w:b/>
          <w:bCs/>
          <w:lang w:val="el" w:eastAsia="el"/>
        </w:rPr>
        <w:t>2.</w:t>
      </w:r>
      <w:r>
        <w:rPr>
          <w:lang w:val="el" w:eastAsia="el"/>
        </w:rPr>
        <w:t xml:space="preserve"> Οι Αναθέτουσες Αρχές και οι Αναθέτοντες Φορείς παραλαμβάνουν τα ηλεκτρονικά τιμολόγια που εκδίδονται μετά τη δημοσίευση της παρούσας από αναδόχους ανεξαρτήτως του χρόνου έναρξης της διαδικασίας σύναψης σύμβασης κατά τα οριζόμενα στα άρθρα 61 και 290 του ν. 4412/2016 αντιστοίχως.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των διατάξεων της παρούσας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17 Ιουνίου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 </w:t>
      </w:r>
    </w:p>
    <w:p>
      <w:pPr>
        <w:spacing w:before="240" w:after="240"/>
        <w:rPr>
          <w:lang w:val="el" w:eastAsia="el"/>
        </w:rPr>
      </w:pPr>
      <w:r>
        <w:rPr>
          <w:lang w:val="el" w:eastAsia="el"/>
        </w:rPr>
        <w:t xml:space="preserve">Υφυπουργός Οικονομικών       </w:t>
      </w:r>
    </w:p>
    <w:p>
      <w:pPr>
        <w:spacing w:before="240" w:after="240"/>
        <w:rPr>
          <w:lang w:val="el" w:eastAsia="el"/>
        </w:rPr>
      </w:pPr>
      <w:r>
        <w:rPr>
          <w:lang w:val="el" w:eastAsia="el"/>
        </w:rPr>
        <w:t>ΑΠΟΣΤΟΛΟΣ ΒΕΣΥΡΟΠΟΥΛΟΣ</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 xml:space="preserve">ΘΕΟΔΩΡΟΣ ΣΚΥΛΑΚΑΚΗΣ </w:t>
      </w:r>
    </w:p>
    <w:p>
      <w:pPr>
        <w:spacing w:before="240" w:after="240"/>
        <w:rPr>
          <w:lang w:val="el" w:eastAsia="el"/>
        </w:rPr>
      </w:pPr>
      <w:r>
        <w:rPr>
          <w:lang w:val="el" w:eastAsia="el"/>
        </w:rPr>
        <w:t>Υφυπουργός Ανάπτυξης και Επενδύσεων</w:t>
      </w:r>
    </w:p>
    <w:p>
      <w:pPr>
        <w:spacing w:before="240" w:after="240"/>
        <w:rPr>
          <w:lang w:val="el" w:eastAsia="el"/>
        </w:rPr>
      </w:pPr>
      <w:r>
        <w:rPr>
          <w:lang w:val="el" w:eastAsia="el"/>
        </w:rPr>
        <w:t>ΝΙΚΟΛΑΟΣ ΠΑΠΑΘΑΝΑΣΗΣ</w:t>
      </w:r>
    </w:p>
    <w:p>
      <w:pPr>
        <w:spacing w:before="240" w:after="240"/>
        <w:rPr>
          <w:lang w:val="el" w:eastAsia="el"/>
        </w:rPr>
      </w:pPr>
      <w:r>
        <w:rPr>
          <w:lang w:val="el" w:eastAsia="el"/>
        </w:rPr>
        <w:t>Υφυπουργός Εθνικής Άμυνας</w:t>
      </w:r>
    </w:p>
    <w:p>
      <w:pPr>
        <w:spacing w:before="240" w:after="240"/>
        <w:rPr>
          <w:lang w:val="el" w:eastAsia="el"/>
        </w:rPr>
      </w:pPr>
      <w:r>
        <w:rPr>
          <w:lang w:val="el" w:eastAsia="el"/>
        </w:rPr>
        <w:t xml:space="preserve">ΑΛΚΙΒΙΑΔΗΣ ΣΤΕΦΑΝΗΣ </w:t>
      </w:r>
    </w:p>
    <w:p>
      <w:pPr>
        <w:spacing w:before="240" w:after="240"/>
        <w:rPr>
          <w:lang w:val="el" w:eastAsia="el"/>
        </w:rPr>
      </w:pPr>
      <w:r>
        <w:rPr>
          <w:lang w:val="el" w:eastAsia="el"/>
        </w:rPr>
        <w:t>Υφυπουργός Εσωτερικών</w:t>
      </w:r>
    </w:p>
    <w:p>
      <w:pPr>
        <w:spacing w:before="240" w:after="240"/>
        <w:rPr>
          <w:lang w:val="el" w:eastAsia="el"/>
        </w:rPr>
      </w:pPr>
      <w:r>
        <w:rPr>
          <w:lang w:val="el" w:eastAsia="el"/>
        </w:rPr>
        <w:t>ΘΕΟΔΩΡΟΣ ΛΙΒΑΝΙΟΣ</w:t>
      </w:r>
    </w:p>
    <w:p>
      <w:pPr>
        <w:spacing w:before="240" w:after="240"/>
        <w:rPr>
          <w:lang w:val="el" w:eastAsia="el"/>
        </w:rPr>
      </w:pPr>
      <w:r>
        <w:rPr>
          <w:lang w:val="el" w:eastAsia="el"/>
        </w:rPr>
        <w:t>Υφυπουργός Ψηφιακής Διακυβέρνησης</w:t>
      </w:r>
    </w:p>
    <w:p>
      <w:pPr>
        <w:spacing w:before="240" w:after="240"/>
        <w:rPr>
          <w:lang w:val="el" w:eastAsia="el"/>
        </w:rPr>
      </w:pPr>
      <w:r>
        <w:rPr>
          <w:lang w:val="el" w:eastAsia="el"/>
        </w:rPr>
        <w:t>ΓΡΗΓΟΡΙΟΣ ΖΑΡΙΦΟΠΟΥΛΟΣ</w:t>
      </w:r>
    </w:p>
    <w:p>
      <w:pPr>
        <w:spacing w:before="240" w:after="240"/>
        <w:rPr>
          <w:lang w:val="el" w:eastAsia="el"/>
        </w:rPr>
      </w:pPr>
      <w:r>
        <w:rPr>
          <w:lang w:val="el" w:eastAsia="el"/>
        </w:rPr>
        <w:t>Υποδομών και Μεταφορών</w:t>
      </w:r>
    </w:p>
    <w:p>
      <w:pPr>
        <w:spacing w:before="240" w:after="240"/>
        <w:rPr>
          <w:lang w:val="el" w:eastAsia="el"/>
        </w:rPr>
      </w:pPr>
      <w:r>
        <w:rPr>
          <w:lang w:val="el" w:eastAsia="el"/>
        </w:rPr>
        <w:t>ΚΩΝΣΤΑΝΤΙΝΟΣ ΚΑΡΑΜΑΝΛΗΣ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 98979 ΕΞ 2021 13.08.2021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