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60967 ΕΞ 2020</w:t>
      </w:r>
    </w:p>
    <w:p>
      <w:pPr>
        <w:pStyle w:val="Title"/>
        <w:spacing w:before="120" w:after="360"/>
        <w:rPr>
          <w:lang w:val="el" w:eastAsia="el"/>
        </w:rPr>
      </w:pPr>
      <w:r>
        <w:rPr>
          <w:lang w:val="el" w:eastAsia="el"/>
        </w:rPr>
        <w:t xml:space="preserve">Ηλεκτρονική Τιμολόγηση στο πλαίσιο των Δημοσίων Συμβάσεων δυνάμει του ν. 4601/2019 (Α΄ 44) </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οικ. 60967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2425/18-06-2020)</w:t>
      </w:r>
    </w:p>
    <w:p>
      <w:pPr>
        <w:pStyle w:val="PreambelText"/>
        <w:spacing w:before="240" w:after="240"/>
        <w:rPr>
          <w:lang w:val="el" w:eastAsia="el"/>
        </w:rPr>
      </w:pPr>
      <w:r>
        <w:rPr>
          <w:lang w:val="el" w:eastAsia="el"/>
        </w:rPr>
        <w:t>ΟΙ ΥΠΟΥΡΓΟΙ ΟΙΚΟΝΟΜΙΚΩΝ - ΑΝΑΠΤΥΞΗΣ ΚΑΙ ΕΠΕΝΔΥΣΕΩΝ-ΕΘΝΙΚΗΣ ΑΜΥΝΑΣ-ΕΣΩΤΕΡΙΚΩΝ-ΨΗΦΙΑΚΗΣ ΔΙΑΚΥΒΕΡΝΗΣΗΣ-ΥΠΟΔΟΜΩΝ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όπως αυτές ισχύουν:</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και ιδίως τα άρθρα 148, 153 και την παρ. 2 του άρθρου 154 (Α΄ 44).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Εναρμόνιση με την Οδηγία 2009/81/ ΕΚ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και της περ. 22 του άρθρου 119 του ν. 4622/2019 (Α΄133).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82/2017 «Οργανισμός Υπουργείου Ψηφιακής Πολιτικής, Τηλεπικοινωνιών και Ενημέρωσης» (Α΄ 117).</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84/2019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 αρ.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 1301).</w:t>
      </w:r>
    </w:p>
    <w:p>
      <w:pPr>
        <w:pStyle w:val="PreambelText"/>
        <w:spacing w:before="240" w:after="240"/>
        <w:rPr>
          <w:lang w:val="el" w:eastAsia="el"/>
        </w:rPr>
      </w:pPr>
      <w:r>
        <w:rPr>
          <w:lang w:val="el" w:eastAsia="el"/>
        </w:rPr>
        <w:t>2.2 Την υπ’ αρ.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2.3 Την υπ’αρ. 2/53983/0026/27-06-2019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 2726).</w:t>
      </w:r>
    </w:p>
    <w:p>
      <w:pPr>
        <w:pStyle w:val="PreambelText"/>
        <w:spacing w:before="240" w:after="240"/>
        <w:rPr>
          <w:lang w:val="el" w:eastAsia="el"/>
        </w:rPr>
      </w:pPr>
      <w:r>
        <w:rPr>
          <w:lang w:val="el" w:eastAsia="el"/>
        </w:rPr>
        <w:t>2.4 Την υπ’ αρ. 56902/215/19.5.2017 απόφαση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(Β΄ 1924).</w:t>
      </w:r>
    </w:p>
    <w:p>
      <w:pPr>
        <w:pStyle w:val="PreambelText"/>
        <w:spacing w:before="240" w:after="240"/>
        <w:rPr>
          <w:lang w:val="el" w:eastAsia="el"/>
        </w:rPr>
      </w:pPr>
      <w:r>
        <w:rPr>
          <w:lang w:val="el" w:eastAsia="el"/>
        </w:rPr>
        <w:t>2.5 Την υπ’αρ. 117384/26.10.2017 κοινή απόφαση των Υπουργών Οικονομίας και Ανάπτυξης και Υποδομών και Μεταφορών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3821).</w:t>
      </w:r>
    </w:p>
    <w:p>
      <w:pPr>
        <w:pStyle w:val="PreambelText"/>
        <w:spacing w:before="240" w:after="240"/>
        <w:rPr>
          <w:lang w:val="el" w:eastAsia="el"/>
        </w:rPr>
      </w:pPr>
      <w:r>
        <w:rPr>
          <w:lang w:val="el" w:eastAsia="el"/>
        </w:rPr>
        <w:t>2.6 Την υπ’αρ.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 αρ. 340/18-07-2019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2.8 Την υπ’αριθμ.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 αρ. 46/2019 κοινή απόφαση του Πρωθυπουργού και του Υπουργού Ανάπτυξης και Επενδύσεων</w:t>
      </w:r>
    </w:p>
    <w:p>
      <w:pPr>
        <w:pStyle w:val="PreambelText"/>
        <w:spacing w:before="240" w:after="240"/>
        <w:rPr>
          <w:lang w:val="el" w:eastAsia="el"/>
        </w:rPr>
      </w:pPr>
      <w:r>
        <w:rPr>
          <w:lang w:val="el" w:eastAsia="el"/>
        </w:rPr>
        <w:t>«Ανάθεση αρμοδιοτήτων στον Υφυπουργό Ανάπτυξης και Επενδύσεων, Νικόλαο Παπαθανάση» (Β΄ 3100).</w:t>
      </w:r>
    </w:p>
    <w:p>
      <w:pPr>
        <w:pStyle w:val="PreambelText"/>
        <w:spacing w:before="240" w:after="240"/>
        <w:rPr>
          <w:lang w:val="el" w:eastAsia="el"/>
        </w:rPr>
      </w:pPr>
      <w:r>
        <w:rPr>
          <w:lang w:val="el" w:eastAsia="el"/>
        </w:rPr>
        <w:t>2.10 Την υπ΄αρ. 162/25.07.2019 κοινή απόφαση του Πρωθυπουργού και του Υπουργού Επικρατείας «Ανάθεση αρμοδιοτήτων στον Υφυπουργό Ψηφιακής Διακυβέρνησης Γρηγόριο Ζαριφόπουλο» (Β΄ 3017).</w:t>
      </w:r>
    </w:p>
    <w:p>
      <w:pPr>
        <w:pStyle w:val="PreambelText"/>
        <w:spacing w:before="240" w:after="240"/>
        <w:rPr>
          <w:lang w:val="el" w:eastAsia="el"/>
        </w:rPr>
      </w:pPr>
      <w:r>
        <w:rPr>
          <w:lang w:val="el" w:eastAsia="el"/>
        </w:rPr>
        <w:t>2.11 Την υπ’ αρ. 1095Α/09.8.2019 κοινή απόφαση του Πρωθυπουργού και του Υπ. Εσωτερικών «Ανάθεση αρμοδιοτήτων στον Υφυπ. Εσωτερικών Θεόδωρο Λιβάνιο».</w:t>
      </w:r>
    </w:p>
    <w:p>
      <w:pPr>
        <w:pStyle w:val="PreambelText"/>
        <w:spacing w:before="240" w:after="240"/>
        <w:rPr>
          <w:lang w:val="el" w:eastAsia="el"/>
        </w:rPr>
      </w:pPr>
      <w:r>
        <w:rPr>
          <w:lang w:val="el" w:eastAsia="el"/>
        </w:rPr>
        <w:t>2.12 Την υπ’αρ. 247153α/9.8.2019 κοινή απόφαση του Πρωθυπουργού και του Υπουργού Εθνικής Άμυνας «Ανάθεση αρμοδιοτήτων στον Υφυπουργό Εθνικής Άμυνας» (Β΄ 3181).</w:t>
      </w:r>
    </w:p>
    <w:p>
      <w:pPr>
        <w:pStyle w:val="PreambelText"/>
        <w:spacing w:before="240" w:after="240"/>
        <w:rPr>
          <w:lang w:val="el" w:eastAsia="el"/>
        </w:rPr>
      </w:pPr>
      <w:r>
        <w:rPr>
          <w:lang w:val="el" w:eastAsia="el"/>
        </w:rPr>
        <w:t>3. Την υπ’αρ. Γ5/2020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 xml:space="preserve">4. Το γεγονός ότι δεν προκαλείται δαπάνη σε βάρος του κρατικού προϋπολογισμού, σύμφωνα με την υπ’αρ. 29651ΕΞ2020/11-03-2020 έκθεση της ΓΔΟΥ του Υπουργείου Οικονομικών,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«eDelivery AS4/AS2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 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αριθμ.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τόσο κατά την περίοδο τεχνικής προετοιμασίας και προσαρμογής των οικείων συστημάτων όσο και σε περιπτώσεις κατά τις οποίες λόγω τεχνικής αδυναμίας δεν μπορούν να παραλάβουν τα ηλεκτρονικά τιμολόγια στα οικεία πληροφοριακά τους συστήματα.</w:t>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4 της υπ’ αρ. 56902/215/19.5.2017 απόφασης (Β΄ 1924/2017) του Υπουργού Οικονομίας και Ανάπτυξης και το άρθρο 4 της υπ’ αρ. 117384/26.10.2017 κοινής απόφασης (Β΄ 3821/2017) των Υπουργών Οικονομίας και Ανάπτυξης και Υποδομών και Μεταφορών,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w:t>
      </w:r>
    </w:p>
    <w:p>
      <w:pPr>
        <w:pStyle w:val="MainText"/>
        <w:spacing w:before="120" w:after="0"/>
        <w:rPr>
          <w:lang w:val="el" w:eastAsia="el"/>
        </w:rPr>
      </w:pPr>
      <w:r>
        <w:rPr>
          <w:b/>
          <w:bCs/>
          <w:lang w:val="el" w:eastAsia="el"/>
        </w:rPr>
        <w:t>20.</w:t>
      </w:r>
      <w:r>
        <w:rPr>
          <w:lang w:val="el" w:eastAsia="el"/>
        </w:rPr>
        <w:t xml:space="preserve"> «διαδικτυακές υπηρεσίες (web services)»: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 δίκτυο eDelivery και στο οποίο γίνεται χρήση τεχνουργημάτων και τεχνικών προδιαγραφών του PEPPOL, προκειμένου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παρούσης.</w:t>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 αρ. ΥΑΠ/Φ.40.4/1/989/10.4.2012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παραγράφους 11 και 13 του Παραρτήματος Ι της ΥΑΠ/Φ.40.4/1/989/10.4.2012 (Β΄ 1301/2012)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υπ΄αρ. ΥΑΠ/Φ.40.4/1/989/10.4.2012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AS4/AS2 profile και τις απαιτήσεις ασφαλείας του Εκτελεστικού Κανονισμού eIDAS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απαιτήσεις διαλειτουργικότητας με το ΚΕΔ ορίζονται στην υπ’ αρ. 118944 ΕΞ 23-10-2019 (Β’ 3990/2019)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των Πιστοποιημένων Σημείων Πρόσβασης του Δικτύου.</w:t>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πραγματοποιείται μόνο από άλλο Σημείο Πρόσβασης του Δικτύου.</w:t>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 4129/2013.</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Διαδικασίες παραλαβής, επεξεργασίας τιμολογίων και πληρωμής</w:t>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pStyle w:val="MainText"/>
        <w:spacing w:before="120" w:after="0"/>
        <w:rPr>
          <w:lang w:val="el" w:eastAsia="el"/>
        </w:rPr>
      </w:pPr>
      <w:r>
        <w:rPr>
          <w:b/>
          <w:bCs/>
          <w:lang w:val="el" w:eastAsia="el"/>
        </w:rPr>
        <w:t>3.</w:t>
      </w:r>
      <w:r>
        <w:rPr>
          <w:lang w:val="el" w:eastAsia="el"/>
        </w:rPr>
        <w:t xml:space="preserve"> Σε περίπτωση προσωρινής τεχνικής αδυναμίας παραλαβής του ηλεκτρονικού τιμολογίου από τα ανωτέρω πληροφοριακά συστήματα, οι αγοραστές παραλαμβάνουν τα ηλεκτρονικά τιμολόγια στο, για το σκοπό αυτό,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 Σε συνέχεια της παραλαβής του τιμολογίου και στην περίπτωση που ο αγοραστής διαπιστώσει ότι το περιεχόμενο του τιμολογίου δεν είναι σύμφωνο με τους όρους της σύμβασης αποστέλλει μήνυμα ειδοποίησης προς τον πωλητή, διαμέσου του ΚΕΔ προκειμένου ο τελευταίος να εκδώσει πιστωτικό ηλεκτρονικό τιμολόγιο. Το ΚΕΔ ταυτόχρονα προωθεί την εν λόγω ειδοποίηση στα εμπλεκόμενα πληροφοριακά συστήματα.</w:t>
      </w:r>
    </w:p>
    <w:p>
      <w:pPr>
        <w:pStyle w:val="MainText"/>
        <w:spacing w:before="120" w:after="0"/>
        <w:rPr>
          <w:lang w:val="el" w:eastAsia="el"/>
        </w:rPr>
      </w:pPr>
      <w:r>
        <w:rPr>
          <w:b/>
          <w:bCs/>
          <w:lang w:val="el" w:eastAsia="el"/>
        </w:rPr>
        <w:t>4.</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pStyle w:val="MainText"/>
        <w:spacing w:before="120" w:after="0"/>
        <w:rPr>
          <w:lang w:val="el" w:eastAsia="el"/>
        </w:rPr>
      </w:pPr>
      <w:r>
        <w:rPr>
          <w:b/>
          <w:bCs/>
          <w:lang w:val="el" w:eastAsia="el"/>
        </w:rPr>
        <w:t>5.</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pStyle w:val="MainText"/>
        <w:spacing w:before="120" w:after="0"/>
        <w:rPr>
          <w:lang w:val="el" w:eastAsia="el"/>
        </w:rPr>
      </w:pPr>
      <w:r>
        <w:rPr>
          <w:b/>
          <w:bCs/>
          <w:lang w:val="el" w:eastAsia="el"/>
        </w:rPr>
        <w:t>6.</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31/12/2020,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Εθνικής Άμυνας</w:t>
      </w:r>
    </w:p>
    <w:p>
      <w:pPr>
        <w:spacing w:before="240" w:after="240"/>
        <w:rPr>
          <w:lang w:val="el" w:eastAsia="el"/>
        </w:rPr>
      </w:pPr>
      <w:r>
        <w:rPr>
          <w:lang w:val="el" w:eastAsia="el"/>
        </w:rPr>
        <w:t xml:space="preserve">ΑΛΚΙΒΙΑΔΗΣ ΣΤΕΦΑΝΗΣ </w:t>
      </w:r>
    </w:p>
    <w:p>
      <w:pPr>
        <w:spacing w:before="240" w:after="240"/>
        <w:rPr>
          <w:lang w:val="el" w:eastAsia="el"/>
        </w:rPr>
      </w:pPr>
      <w:r>
        <w:rPr>
          <w:lang w:val="el" w:eastAsia="el"/>
        </w:rPr>
        <w:t>Υφυπουργός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ΓΡΗΓΟΡΙΟΣ ΖΑΡΙΦΟΠΟΥΛΟΣ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98979 ΕΞ 10.08.2021 22.11.2021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