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Ι.</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.α. ΔΙΕΥΘΥΝΣΗ ΕΙΣΠΡΑΞΕΩΝ ΤΜΗΜΑ Δ΄</w:t>
      </w:r>
    </w:p>
    <w:p>
      <w:pPr>
        <w:pStyle w:val="PreambelText"/>
        <w:spacing w:before="240" w:after="240"/>
        <w:rPr>
          <w:lang w:val="el" w:eastAsia="el"/>
        </w:rPr>
      </w:pPr>
      <w:r>
        <w:rPr>
          <w:lang w:val="el" w:eastAsia="el"/>
        </w:rPr>
        <w:t xml:space="preserve">2 </w:t>
      </w:r>
      <w:r>
        <w:rPr>
          <w:b/>
          <w:bCs/>
          <w:lang w:val="el" w:eastAsia="el"/>
        </w:rPr>
        <w:t>.β. ΔΙΕΥΘΥΝΣΗ ΕΦΑΡΜΟΓΗΣ ΑΜΕΣΗΣ ΦΟΡΟΛΟΓΙΑΣ ΤΜΗΜΑ Α΄</w:t>
      </w:r>
    </w:p>
    <w:p>
      <w:pPr>
        <w:pStyle w:val="PreambelText"/>
        <w:spacing w:before="240" w:after="240"/>
        <w:rPr>
          <w:lang w:val="el" w:eastAsia="el"/>
        </w:rPr>
      </w:pPr>
      <w:r>
        <w:rPr>
          <w:lang w:val="el" w:eastAsia="el"/>
        </w:rPr>
        <w:t xml:space="preserve">2 </w:t>
      </w:r>
      <w:r>
        <w:rPr>
          <w:b/>
          <w:bCs/>
          <w:lang w:val="el" w:eastAsia="el"/>
        </w:rPr>
        <w:t>. ΓΕΝΙΚΗ Δ/ΝΣΗ ΗΛΕΚΤΡΟΝΙΚΗΣ ΔΙΑΚΥΒΕΡΝΗΣΗΣ 2 .α. ΔΙΕΥΘΥΝΣΗ ΕΠΙΧΕΙΡΗΣΙΑΚΩΝ ΔΙΑΔΙΚΑΣΙΩΝ ΥΠΟΔΙΕΥΘΥΝΣΗ Α΄ ΤΜΗΜΑ Β΄</w:t>
      </w:r>
    </w:p>
    <w:p>
      <w:pPr>
        <w:pStyle w:val="PreambelText"/>
        <w:spacing w:before="240" w:after="240"/>
        <w:rPr>
          <w:lang w:val="el" w:eastAsia="el"/>
        </w:rPr>
      </w:pPr>
      <w:r>
        <w:rPr>
          <w:lang w:val="el" w:eastAsia="el"/>
        </w:rPr>
        <w:t xml:space="preserve">2 </w:t>
      </w:r>
      <w:r>
        <w:rPr>
          <w:b/>
          <w:bCs/>
          <w:lang w:val="el" w:eastAsia="el"/>
        </w:rPr>
        <w:t>.β.ΔΙΕΥΘΥΝΣΗ ΑΝΑΠΤΥΞΗΣ ΦΟΡΟΛΟΓΙΚΩΝ ΕΦΑΡΜΟΓΩΝ ΤΜΗΜΑ Α΄, Γ΄</w:t>
      </w:r>
    </w:p>
    <w:p>
      <w:pPr>
        <w:pStyle w:val="PreambelText"/>
        <w:spacing w:before="240" w:after="240"/>
        <w:rPr>
          <w:lang w:val="el" w:eastAsia="el"/>
        </w:rPr>
      </w:pPr>
      <w:r>
        <w:rPr>
          <w:lang w:val="el" w:eastAsia="el"/>
        </w:rPr>
        <w:t xml:space="preserve">Καρ. Σερβίας 10 10184 Αθήνα 2103375000 2103611752 </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Επιστροφή του φόρου εισοδήματος φυσικών προσώπων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1 του άρθρου 30, των άρθρων 32, 34 και της παρ. 5 του άρθρου 42 του ν. 4174/2013, «Φορολογικές διαδικασίες και άλλες διατάξεις» (Α΄ 170), όπως ισχύουν</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3. Τις διατάξεις της περίπτωσης 2 της υποπαραγράφου ΙΑ.2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4. Την αριθ.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και τις αποφάσεις αριθ. 39/3/30-11-2017 (Υ.Ο.Δ.Δ. 689) του Υπουργού οικονομικών και αριθ.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5. Την ΠΟΛ 1140 απόφαση και υπ’ αρ. 1109228/8434/0016/08.12.2006, όπως ισχύει «Δικαιολογητικά εξόφλησης τίτλων πληρωμής ή επιστροφής - εξόφληση με εντολή μεταφοράς - ρυθμίσεις θεμάτων εξόφλησης τίτλων πληρωμής ή επιστροφής» (Β΄ 1862).</w:t>
      </w:r>
    </w:p>
    <w:p>
      <w:pPr>
        <w:pStyle w:val="PreambelText"/>
        <w:spacing w:before="240" w:after="240"/>
        <w:rPr>
          <w:lang w:val="el" w:eastAsia="el"/>
        </w:rPr>
      </w:pPr>
      <w:r>
        <w:rPr>
          <w:lang w:val="el" w:eastAsia="el"/>
        </w:rPr>
        <w:t>6. Την υπ’ αρ. Β/7/35889/2582/16.10.2014 κοινή υπουργική απόφαση «Προϋποθέσεις και διαδικασία συμψηφισμού επιστροφών Φόρου Προστιθέμενης Αξίας και Φόρου Εισοδήματος με οφειλές στους Οργανισμούς Κοινωνικής Ασφάλισης» (Β΄ 2795).</w:t>
      </w:r>
    </w:p>
    <w:p>
      <w:pPr>
        <w:pStyle w:val="PreambelText"/>
        <w:spacing w:before="240" w:after="240"/>
        <w:rPr>
          <w:lang w:val="el" w:eastAsia="el"/>
        </w:rPr>
      </w:pPr>
      <w:r>
        <w:rPr>
          <w:lang w:val="el" w:eastAsia="el"/>
        </w:rPr>
        <w:t>7. Την ΠΟΛ. 1048/06.04.2016 απόφαση «Καθορισμός διαδικασίας ηλεκτρονικής έκδοσης και αποστολής εντολής μεταφοράς προς την Τράπεζα της Ελλάδος (ΤτΕ) για την πίστωση λογαριασμών των δικαιούχων σε Πιστωτικά Ιδρύματα» (Β΄ 1199).</w:t>
      </w:r>
    </w:p>
    <w:p>
      <w:pPr>
        <w:pStyle w:val="PreambelText"/>
        <w:spacing w:before="240" w:after="240"/>
        <w:rPr>
          <w:lang w:val="el" w:eastAsia="el"/>
        </w:rPr>
      </w:pPr>
      <w:r>
        <w:rPr>
          <w:lang w:val="el" w:eastAsia="el"/>
        </w:rPr>
        <w:t>8. Την ΠΟΛ. 1202/08.09.2014 απόφαση «Καθορισμός βιβλίων καταχώρησης εισπρακτέων και επιστρεπτέων ποσών κατά τις διατάξεις του άρθρου 30 του ν.4174/2013, όπως ισχύει» (Β΄ 253).</w:t>
      </w:r>
    </w:p>
    <w:p>
      <w:pPr>
        <w:pStyle w:val="PreambelText"/>
        <w:spacing w:before="240" w:after="240"/>
        <w:rPr>
          <w:lang w:val="el" w:eastAsia="el"/>
        </w:rPr>
      </w:pPr>
      <w:r>
        <w:rPr>
          <w:lang w:val="el" w:eastAsia="el"/>
        </w:rPr>
        <w:t>9. Την υπ΄ αρ. Α. 1070/31.03.2020 απόφαση «Τύπος και περιεχόμενο της δήλωσης φορολογίας εισοδήματος φυσικών προσώπων φορολογικού έτους 2019, των λοιπών εντύπων και των δικαιολογητικών εγγράφων που συνυποβάλλονται με αυτή» (Β΄ 1267).</w:t>
      </w:r>
    </w:p>
    <w:p>
      <w:pPr>
        <w:pStyle w:val="PreambelText"/>
        <w:spacing w:before="240" w:after="240"/>
        <w:rPr>
          <w:lang w:val="el" w:eastAsia="el"/>
        </w:rPr>
      </w:pPr>
      <w:r>
        <w:rPr>
          <w:lang w:val="el" w:eastAsia="el"/>
        </w:rPr>
        <w:t>10. Την ανάγκη απλοποίησης, βελτίωσης και επίσπευσης των διαδικασιών επιστροφής φόρου εισοδήματος φυσικών προσώπων που προκύπτει από την εκκαθάριση της οικείας αρχικής φορολογικής δήλωσης εκάστου έτους.</w:t>
      </w:r>
    </w:p>
    <w:p>
      <w:pPr>
        <w:pStyle w:val="PreambelText"/>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Τον καθορισμό της διαδικασίας διαχείρισης των απαιτήσεων κατά της Φορολογικής Διοίκησης, που προκύπτουν μετά από πράξη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συνιστάται και βεβαιώνεται η απαίτηση του υπόχρεου και του συζύγου/ΜΣΣ καθώς και του τρόπου πίστωσης των τραπεζικών λογαριασμών των δικαιούχων προσώπων της απαίτησης.</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Η Διεύθυνση Ανάπτυξης Φορολογικών Εφαρμογών (Δ.Α.Φ.Ε.) της Γενικής Διεύθυνσης Ηλεκτρονικής Διακυβέρνησης (Γ.Δ.ΗΛΕ.Δ.) πραγματοποιεί την εκκαθάριση των δηλώσεων φορολογίας εισοδήματος φυσικών προσώπων (Φ.Π.), που υπεβλήθησαν ηλεκτρονικά και εκδίδει τις Πράξεις Διοικητικού ή Διορθωτικού Προσδιορισμού Φόρου, κατά περίπτωση.</w:t>
      </w:r>
    </w:p>
    <w:p>
      <w:pPr>
        <w:pStyle w:val="MainText"/>
        <w:spacing w:before="120" w:after="0"/>
        <w:rPr>
          <w:lang w:val="el" w:eastAsia="el"/>
        </w:rPr>
      </w:pPr>
      <w:r>
        <w:rPr>
          <w:b/>
          <w:bCs/>
          <w:lang w:val="el" w:eastAsia="el"/>
        </w:rPr>
        <w:t>2.</w:t>
      </w:r>
      <w:r>
        <w:rPr>
          <w:lang w:val="el" w:eastAsia="el"/>
        </w:rPr>
        <w:t xml:space="preserve"> Σε περίπτωση έκδοσης Πράξης Διοικητικού Προσδιορισμού Φόρου με την οποία συνιστάται και βεβαιώνεται η απαίτηση του φορολογούμενου εκδίδει φύλλα έκπτωσης ατομικά ή συγκεντρωτικά.</w:t>
      </w:r>
    </w:p>
    <w:p>
      <w:pPr>
        <w:pStyle w:val="MainText"/>
        <w:spacing w:before="120" w:after="0"/>
        <w:rPr>
          <w:lang w:val="el" w:eastAsia="el"/>
        </w:rPr>
      </w:pPr>
      <w:r>
        <w:rPr>
          <w:b/>
          <w:bCs/>
          <w:lang w:val="el" w:eastAsia="el"/>
        </w:rPr>
        <w:t>3.</w:t>
      </w:r>
      <w:r>
        <w:rPr>
          <w:lang w:val="el" w:eastAsia="el"/>
        </w:rPr>
        <w:t xml:space="preserve"> Χρεωστικό υπόλοιπο, που οφείλεται, βάσει αρχικής εμπρόθεσμης ή εκπρόθεσμης δήλωσης φορολογίας εισοδήματος Φ.Π., συμψηφίζεται οίκοθεν με το τυχόν πιστωτικό ποσό που προκύπτει από την εκκαθάριση της δήλωσης αυτής.</w:t>
      </w:r>
    </w:p>
    <w:p>
      <w:pPr>
        <w:pStyle w:val="MainText"/>
        <w:spacing w:before="120" w:after="0"/>
        <w:rPr>
          <w:lang w:val="el" w:eastAsia="el"/>
        </w:rPr>
      </w:pPr>
      <w:r>
        <w:rPr>
          <w:b/>
          <w:bCs/>
          <w:lang w:val="el" w:eastAsia="el"/>
        </w:rPr>
        <w:t>4.</w:t>
      </w:r>
      <w:r>
        <w:rPr>
          <w:lang w:val="el" w:eastAsia="el"/>
        </w:rPr>
        <w:t xml:space="preserve"> Πιστωτικά ποσά του ενός συζύγου/ μερών συμφώνου συμβίωσης (εφεξής ΜΣΣ) δεν συμψηφίζονται με τυχόν χρεωστικά του άλλου και στην περίπτωση που έχουν και οι δύο πιστωτικά ποσά επιστρέφονται στον κάθε δικαιούχο χωριστά.</w:t>
      </w:r>
    </w:p>
    <w:p>
      <w:pPr>
        <w:pStyle w:val="MainText"/>
        <w:spacing w:before="120" w:after="0"/>
        <w:rPr>
          <w:lang w:val="el" w:eastAsia="el"/>
        </w:rPr>
      </w:pPr>
      <w:r>
        <w:rPr>
          <w:b/>
          <w:bCs/>
          <w:lang w:val="el" w:eastAsia="el"/>
        </w:rPr>
        <w:t>5.</w:t>
      </w:r>
      <w:r>
        <w:rPr>
          <w:lang w:val="el" w:eastAsia="el"/>
        </w:rPr>
        <w:t xml:space="preserve"> Η επιστροφή του φόρου των συζύγων/ ΜΣΣ που προκύπτει από την κοινή τους δήλωσή καταχωρίζεται στα βιβλία επιστρεπτέων ποσών της Δ.Ο.Υ. του υπόχρεου, ακόμη και στις περιπτώσεις που οι σύζυγοι έχουν διαφορετική Δ.Ο.Υ.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 Δ.Ο.Υ. του υπόχρεου συζύγου.</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Κατά την επιστροφή του φόρου εισοδήματος φυσικών προσώπων στους δικαιούχους, τυγχάνουν εφαρμογής μεταξύ άλλων, οι διατάξεις περί αποδεικτικού ενημερότητας και συμψηφισμού [άρθ. 12, άρθ. 42 παρ. 1, άρθ. 48 παρ. 2 του Κώδικα Φορολογικής Διαδικασίας (Κ.Φ.Δ.- ν. 4174/2013, ΦΕΚ Α΄ 170) και άρθ. 83 του Κώδικα Είσπραξης Δημοσίων Εσόδων (Κ.Ε.Δ.Ε.- ν.δ. 356/74, ΦΕΚ Α΄ 90), όπως ισχύουν, αντίστοιχα, κατά περίπτωση. Πλέον των ανωτέρω διατάξεων, εφαρμόζεται η διάταξη της περίπτωσης 2 της υποπαραγράφου ΙΑ.2 του άρθρου Πρώτου του ν. 4254/2014 (ΦΕΚ Α΄ 85) περί συμψηφισμού για οφειλές σε Οργανισμούς Κοινωνικής Ασφάλισης (εφεξής Ο.Κ.Α.).</w:t>
      </w:r>
    </w:p>
    <w:p>
      <w:pPr>
        <w:pStyle w:val="MainText"/>
        <w:spacing w:before="120" w:after="0"/>
        <w:rPr>
          <w:lang w:val="el" w:eastAsia="el"/>
        </w:rPr>
      </w:pPr>
      <w:r>
        <w:rPr>
          <w:b/>
          <w:bCs/>
          <w:lang w:val="el" w:eastAsia="el"/>
        </w:rPr>
        <w:t>2.</w:t>
      </w:r>
      <w:r>
        <w:rPr>
          <w:lang w:val="el" w:eastAsia="el"/>
        </w:rPr>
        <w:t xml:space="preserve"> Αρχικά, η Δ.Α.Φ.Ε. της Γ.Δ.ΗΛΕ.Δ. πραγματοποιεί κεντρικά έλεγχο για την πληρότητα των προϋποθέσεων της παραγράφου 1 του παρόντος άρθρου. Εάν δεν πληρούνται οι ανωτέρω προϋποθέσεις αποστέλλει στη Δ.Ο.Υ. φορολογίας του δικαιούχου επιστροφής ψηφιακά εκκαθαρισμένα Ατομικά Φύλλα Έκπτωσης (Α.Φ.ΕΚ.), προκειμένου να γίνει ο σχετικός έλεγχος για τυχόν οφειλές, ο συμψηφισμός αυτών με βεβαιωμένες στη Φορολογική Διοίκηση οφειλές, κατά τις διατάξεις του ν. 4174/2013 και του ν.δ. 356/1974 (Κ.Ε.Δ.Ε.), η παρακράτηση αυτών κατά τις διατάξεις περί έκδοσης αποδεικτικού ενημερότητας ή βεβαίωσης οφειλής και ο συμψηφισμός αυτών με οφειλές σε Ο.Κ.Α.. Εν συνεχεία διενεργείται από τη Δ.Ο.Υ. η μεταφορά των προς επιστροφή ποσών, στους λογαριασμούς πληρωμών των δικαιούχων.</w:t>
      </w:r>
    </w:p>
    <w:p>
      <w:pPr>
        <w:pStyle w:val="MainText"/>
        <w:spacing w:before="120" w:after="0"/>
        <w:rPr>
          <w:lang w:val="el" w:eastAsia="el"/>
        </w:rPr>
      </w:pPr>
      <w:r>
        <w:rPr>
          <w:b/>
          <w:bCs/>
          <w:lang w:val="el" w:eastAsia="el"/>
        </w:rPr>
        <w:t>3.</w:t>
      </w:r>
      <w:r>
        <w:rPr>
          <w:lang w:val="el" w:eastAsia="el"/>
        </w:rPr>
        <w:t xml:space="preserve"> Εφόσον πληρούνται οι προϋποθέσεις της παρ. 1 του παρόντος άρθρου περί αποδεικτικού ενημερότητας και συμψηφισμού [άρθ. 12, άρθ. 42 παρ. 1, άρθ. 48 παρ. 2 του Κώδικα Φορολογικής Διαδικασίας (Κ.Φ.Δ.- ν. 4174/2013, ΦΕΚ Α΄ 170) και άρθ. 83 του Κώδικα Είσπραξης Δημοσίων Εσόδων (Κ.Ε.Δ.Ε.- ν.δ. 356/74, ΦΕΚ Α΄ 90), όπως ισχύουν, αντίστοιχα κατά περίπτωση , η Δ.Α.Φ.Ε. ενημερώνεται για τις οφειλές στους Ο.Κ.Α. από την Ηλεκτρονική Διακυβέρνηση Κοινωνικής Ασφάλισης Α.Ε. (Η.ΔΙ.Κ.Α. Α.Ε.) κατόπιν αιτήματος που αποστέλλεται ηλεκτρονικά.</w:t>
      </w:r>
    </w:p>
    <w:p>
      <w:pPr>
        <w:pStyle w:val="MainText"/>
        <w:spacing w:before="120" w:after="0"/>
        <w:rPr>
          <w:lang w:val="el" w:eastAsia="el"/>
        </w:rPr>
      </w:pPr>
      <w:r>
        <w:rPr>
          <w:b/>
          <w:bCs/>
          <w:lang w:val="el" w:eastAsia="el"/>
        </w:rPr>
        <w:t>4.</w:t>
      </w:r>
      <w:r>
        <w:rPr>
          <w:lang w:val="el" w:eastAsia="el"/>
        </w:rPr>
        <w:t xml:space="preserve"> Εάν ο δικαιούχος της επιστροφής οφείλει στους Ο.Κ.Α. τότε η Δ.Α.Φ.Ε. αποστέλλει στη Δ.Ο.Υ. φορολογίας του δικαιούχου επιστροφής ψηφιακά εκκαθαρισμένα Α.Φ.ΕΚ., προκειμένου να γίνει ο σχετικός έλεγχος και η απόδοση των παρακρατούμενων ποσών στους Ο.Κ.Α.. Εν συνεχεία διενεργείται από τη Δ.Ο.Υ. η μεταφορά των προς επιστροφή ποσών, στους λογαριασμούς πληρωμών των δικαιούχων.</w:t>
      </w:r>
    </w:p>
    <w:p>
      <w:pPr>
        <w:pStyle w:val="MainText"/>
        <w:spacing w:before="120" w:after="0"/>
        <w:rPr>
          <w:lang w:val="el" w:eastAsia="el"/>
        </w:rPr>
      </w:pPr>
      <w:r>
        <w:rPr>
          <w:b/>
          <w:bCs/>
          <w:lang w:val="el" w:eastAsia="el"/>
        </w:rPr>
        <w:t>5.</w:t>
      </w:r>
      <w:r>
        <w:rPr>
          <w:lang w:val="el" w:eastAsia="el"/>
        </w:rPr>
        <w:t xml:space="preserve"> Εφόσον πληρούνται όλες οι προϋποθέσεις της παρ. 1 του παρόντος άρθρου η Δ.Α.Φ.Ε. προβαίνει στη ταυτοποίηση των δηλωθέντων στοιχείων λογαριασμού πληρωμών (σε μορφή ΙΒΑΝ) του δικαιούχου με αυτά που τηρούνται στον εκάστοτε πάροχο υπηρεσιών πληρωμών. Σε περίπτωση που δεν καταστεί εφικτή η ταυτοποίηση, η Δ.Α.Φ.Ε. αποστέλλει στη Δ.Ο.Υ. φορολογίας του δικαιούχου επιστροφής ψηφιακά εκκαθαρισμένα Α.Φ.ΕΚ. για τη διενέργεια σχετικού έλεγχου και τη μεταφορά των προς επιστροφή ποσών, στους λογαριασμούς πληρωμών των δικαιούχων.</w:t>
      </w:r>
    </w:p>
    <w:p>
      <w:pPr>
        <w:pStyle w:val="MainText"/>
        <w:spacing w:before="120" w:after="0"/>
        <w:rPr>
          <w:lang w:val="el" w:eastAsia="el"/>
        </w:rPr>
      </w:pPr>
      <w:r>
        <w:rPr>
          <w:b/>
          <w:bCs/>
          <w:lang w:val="el" w:eastAsia="el"/>
        </w:rPr>
        <w:t>6.</w:t>
      </w:r>
      <w:r>
        <w:rPr>
          <w:lang w:val="el" w:eastAsia="el"/>
        </w:rPr>
        <w:t xml:space="preserve"> Μετά την επιτυχή ταυτοποίηση η Δ.Α.Φ.Ε. αποστέλλει στη Δ.Ο.Υ. φορολογίας του δικαιούχου επιστροφής ψηφιακά εκκαθαρισμένα Α.Φ.ΕΚ.. Για την εξόφλησή των εν λόγω Α.Φ.ΕΚ. εκδίδει κεντρικά οριστικοποιημένες εντολές μεταφοράς, σε πίστωση των λογαριασμών των δικαιούχων με αντίστοιχη χρέωση του λογαριασμό 200 «Ε.Δ. Συγκέντρωση Εισπράξεων και Πληρωμών», οι οποίες καταχωρίζονται στο βιβλίο εντολών μεταφοράς της αντίστοιχης Δ.Ο.Υ.. Για κάθε εντολή μεταφοράς δημιουργείται αυτόματα ένα γραμμάτιο μετρητοίς με λογαριασμό «Τράπεζα της Ελλάδος – Συγκέντρωση Εισπράξεων και Πληρωμών» Τ.Ε.Σ.Ε.Π..</w:t>
      </w:r>
    </w:p>
    <w:p>
      <w:pPr>
        <w:pStyle w:val="Heading6"/>
        <w:spacing w:before="240" w:after="240"/>
        <w:rPr>
          <w:lang w:val="el" w:eastAsia="el"/>
        </w:rPr>
      </w:pPr>
      <w:r>
        <w:rPr>
          <w:rStyle w:val="article-num"/>
          <w:b/>
          <w:bCs/>
          <w:lang w:val="el" w:eastAsia="el"/>
        </w:rPr>
        <w:t>ΑΡΘΡΟ 3</w:t>
      </w:r>
    </w:p>
    <w:p>
      <w:pPr>
        <w:pStyle w:val="MainText"/>
        <w:spacing w:before="120" w:after="0"/>
        <w:rPr>
          <w:lang w:val="el" w:eastAsia="el"/>
        </w:rPr>
      </w:pPr>
      <w:r>
        <w:rPr>
          <w:b/>
          <w:bCs/>
          <w:lang w:val="el" w:eastAsia="el"/>
        </w:rPr>
        <w:t>1.</w:t>
      </w:r>
      <w:r>
        <w:rPr>
          <w:lang w:val="el" w:eastAsia="el"/>
        </w:rPr>
        <w:t xml:space="preserve"> Η εμφάνιση των συμψηφιζομένων ποσών της παρ. 3 του άρθρου 1 της παρούσας στα έσοδα και συγχρόνως ως στοιχείων αφαιρετικών των εσόδων του κρατικού προϋπολογισμού γίνεται βάσει ετήσιας συγκεντρωτικής κατάστασης που εκδίδεται από τη Γ.Δ.ΗΛΕ.Δ. μετά την τελική επεξεργασία των φορολογικών δηλώσεων κάθε έτους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το οικονομικό έτος που αναφέρονται τα οφειλόμενα στο Δημόσιο ποσά που συμψηφίζονται</w:t>
      </w:r>
    </w:p>
    <w:p>
      <w:pPr>
        <w:pStyle w:val="StructureList1"/>
        <w:spacing w:before="120" w:after="0"/>
        <w:rPr>
          <w:lang w:val="el" w:eastAsia="el"/>
        </w:rPr>
      </w:pPr>
      <w:r>
        <w:rPr>
          <w:lang w:val="el" w:eastAsia="el"/>
        </w:rPr>
        <w:t>β)</w:t>
      </w:r>
      <w:r>
        <w:rPr>
          <w:lang w:val="en" w:eastAsia="en"/>
        </w:rPr>
        <w:tab/>
      </w:r>
      <w:r>
        <w:rPr>
          <w:lang w:val="el" w:eastAsia="el"/>
        </w:rPr>
        <w:t>τα αρχικά προς συμψηφισμό ποσά κατά αριθμό λογαριασμού εσόδου (Α.Λ.Ε.)</w:t>
      </w:r>
    </w:p>
    <w:p>
      <w:pPr>
        <w:pStyle w:val="StructureList1"/>
        <w:spacing w:before="120" w:after="0"/>
        <w:rPr>
          <w:lang w:val="el" w:eastAsia="el"/>
        </w:rPr>
      </w:pPr>
      <w:r>
        <w:rPr>
          <w:lang w:val="el" w:eastAsia="el"/>
        </w:rPr>
        <w:t>γ)</w:t>
      </w:r>
      <w:r>
        <w:rPr>
          <w:lang w:val="en" w:eastAsia="en"/>
        </w:rPr>
        <w:tab/>
      </w:r>
      <w:r>
        <w:rPr>
          <w:lang w:val="el" w:eastAsia="el"/>
        </w:rPr>
        <w:t>το καθαρό συμψηφιζόμενο ποσό κατά αριθμό λογαριασμού εσόδου (Α.Λ.Ε.)</w:t>
      </w:r>
    </w:p>
    <w:p>
      <w:pPr>
        <w:pStyle w:val="StructureList1"/>
        <w:spacing w:before="120" w:after="0"/>
        <w:rPr>
          <w:lang w:val="el" w:eastAsia="el"/>
        </w:rPr>
      </w:pPr>
      <w:r>
        <w:rPr>
          <w:lang w:val="el" w:eastAsia="el"/>
        </w:rPr>
        <w:t>δ)</w:t>
      </w:r>
      <w:r>
        <w:rPr>
          <w:lang w:val="en" w:eastAsia="en"/>
        </w:rPr>
        <w:tab/>
      </w:r>
      <w:r>
        <w:rPr>
          <w:lang w:val="el" w:eastAsia="el"/>
        </w:rPr>
        <w:t>το επιστρεφόμενο ποσό κατά αριθμό λογαριασμού εσόδου (Α.Λ.Ε.)</w:t>
      </w:r>
    </w:p>
    <w:p>
      <w:pPr>
        <w:pStyle w:val="StructureList1"/>
        <w:spacing w:before="120" w:after="0"/>
        <w:rPr>
          <w:lang w:val="el" w:eastAsia="el"/>
        </w:rPr>
      </w:pPr>
      <w:r>
        <w:rPr>
          <w:lang w:val="el" w:eastAsia="el"/>
        </w:rPr>
        <w:t>ε)</w:t>
      </w:r>
      <w:r>
        <w:rPr>
          <w:lang w:val="en" w:eastAsia="en"/>
        </w:rPr>
        <w:tab/>
      </w:r>
      <w:r>
        <w:rPr>
          <w:lang w:val="el" w:eastAsia="el"/>
        </w:rPr>
        <w:t>τον τόπο και χρονολογία έκδοσης της κατάστασης και</w:t>
      </w:r>
    </w:p>
    <w:p>
      <w:pPr>
        <w:pStyle w:val="StructureList1"/>
        <w:spacing w:before="120" w:after="0"/>
        <w:rPr>
          <w:lang w:val="el" w:eastAsia="el"/>
        </w:rPr>
      </w:pPr>
      <w:r>
        <w:rPr>
          <w:lang w:val="el" w:eastAsia="el"/>
        </w:rPr>
        <w:t>στ)</w:t>
      </w:r>
      <w:r>
        <w:rPr>
          <w:lang w:val="en" w:eastAsia="en"/>
        </w:rPr>
        <w:tab/>
      </w:r>
      <w:r>
        <w:rPr>
          <w:lang w:val="el" w:eastAsia="el"/>
        </w:rPr>
        <w:t>την υπογραφή του Προϊσταμένου της αρμόδιας Δ/νσης της Γ.Δ.ΗΛΕ.Δ. ή του εξουσιοδοτημένου υπαλλήλου.</w:t>
      </w:r>
    </w:p>
    <w:p>
      <w:pPr>
        <w:spacing w:before="240" w:after="240"/>
        <w:rPr>
          <w:lang w:val="el" w:eastAsia="el"/>
        </w:rPr>
      </w:pPr>
      <w:r>
        <w:rPr>
          <w:lang w:val="el" w:eastAsia="el"/>
        </w:rPr>
        <w:t>Η ανωτέρω κατάσταση θα εκδίδεται σε τρία (3) αντίγραφα και θα αποστέλλεται στη Δ.Ο.Υ. Κατοίκων Εξωτερικού.</w:t>
      </w:r>
    </w:p>
    <w:p>
      <w:pPr>
        <w:spacing w:before="240" w:after="240"/>
        <w:rPr>
          <w:lang w:val="el" w:eastAsia="el"/>
        </w:rPr>
      </w:pPr>
      <w:r>
        <w:rPr>
          <w:lang w:val="el" w:eastAsia="el"/>
        </w:rPr>
        <w:t>Η Δ.Ο.Υ. Κατοίκων Εξωτερικού θα προβαίνει στις κατωτέρω ενέργειες:</w:t>
      </w:r>
    </w:p>
    <w:p>
      <w:pPr>
        <w:pStyle w:val="StructureList1"/>
        <w:spacing w:before="120" w:after="0"/>
        <w:rPr>
          <w:lang w:val="el" w:eastAsia="el"/>
        </w:rPr>
      </w:pPr>
      <w:r>
        <w:rPr>
          <w:lang w:val="el" w:eastAsia="el"/>
        </w:rPr>
        <w:t>α)</w:t>
      </w:r>
      <w:r>
        <w:rPr>
          <w:lang w:val="en" w:eastAsia="en"/>
        </w:rPr>
        <w:tab/>
      </w:r>
      <w:r>
        <w:rPr>
          <w:lang w:val="el" w:eastAsia="el"/>
        </w:rPr>
        <w:t>στη βεβαίωση των αρχικών προς συμψηφισμό οφειλόμενων στο Δημόσιο ποσών</w:t>
      </w:r>
    </w:p>
    <w:p>
      <w:pPr>
        <w:pStyle w:val="StructureList1"/>
        <w:spacing w:before="120" w:after="0"/>
        <w:rPr>
          <w:lang w:val="el" w:eastAsia="el"/>
        </w:rPr>
      </w:pPr>
      <w:r>
        <w:rPr>
          <w:lang w:val="el" w:eastAsia="el"/>
        </w:rPr>
        <w:t>β)</w:t>
      </w:r>
      <w:r>
        <w:rPr>
          <w:lang w:val="en" w:eastAsia="en"/>
        </w:rPr>
        <w:tab/>
      </w:r>
      <w:r>
        <w:rPr>
          <w:lang w:val="el" w:eastAsia="el"/>
        </w:rPr>
        <w:t>την ενημέρωση των εισπρακτέων βιβλίωντης Δ.Ο.Υ. ως προς τη βεβαίωση, είσπραξη και επιστροφή.</w:t>
      </w:r>
    </w:p>
    <w:p>
      <w:pPr>
        <w:pStyle w:val="StructureList1"/>
        <w:spacing w:before="120" w:after="0"/>
        <w:rPr>
          <w:lang w:val="el" w:eastAsia="el"/>
        </w:rPr>
      </w:pPr>
      <w:r>
        <w:rPr>
          <w:lang w:val="el" w:eastAsia="el"/>
        </w:rPr>
        <w:t>γ)</w:t>
      </w:r>
      <w:r>
        <w:rPr>
          <w:lang w:val="en" w:eastAsia="en"/>
        </w:rPr>
        <w:tab/>
      </w:r>
      <w:r>
        <w:rPr>
          <w:lang w:val="el" w:eastAsia="el"/>
        </w:rPr>
        <w:t>στην έκδοση γραμματίου συμψηφιστικής διαχείρισης με λογαριασμό 103580 ισόποσο με το ποσό (επιστροφή) και</w:t>
      </w:r>
    </w:p>
    <w:p>
      <w:pPr>
        <w:pStyle w:val="StructureList1"/>
        <w:spacing w:before="120" w:after="0"/>
        <w:rPr>
          <w:lang w:val="el" w:eastAsia="el"/>
        </w:rPr>
      </w:pPr>
      <w:r>
        <w:rPr>
          <w:lang w:val="el" w:eastAsia="el"/>
        </w:rPr>
        <w:t>δ)</w:t>
      </w:r>
      <w:r>
        <w:rPr>
          <w:lang w:val="en" w:eastAsia="en"/>
        </w:rPr>
        <w:tab/>
      </w:r>
      <w:r>
        <w:rPr>
          <w:lang w:val="el" w:eastAsia="el"/>
        </w:rPr>
        <w:t>στη χρέωση του λογαριασμού 103580 με το ποσό της ανωτέρω κατάστασης.</w:t>
      </w:r>
    </w:p>
    <w:p>
      <w:pPr>
        <w:pStyle w:val="Heading6"/>
        <w:spacing w:before="240" w:after="240"/>
        <w:rPr>
          <w:lang w:val="el" w:eastAsia="el"/>
        </w:rPr>
      </w:pPr>
      <w:r>
        <w:rPr>
          <w:rStyle w:val="article-num"/>
          <w:b/>
          <w:bCs/>
          <w:lang w:val="el" w:eastAsia="el"/>
        </w:rPr>
        <w:t>ΑΡΘΡΟ 4</w:t>
      </w:r>
    </w:p>
    <w:p>
      <w:pPr>
        <w:spacing w:before="240" w:after="240"/>
        <w:rPr>
          <w:lang w:val="el" w:eastAsia="el"/>
        </w:rPr>
      </w:pPr>
      <w:r>
        <w:rPr>
          <w:lang w:val="el" w:eastAsia="el"/>
        </w:rPr>
        <w:t>Από την δημοσίευση της παρούσας Απόφασης στην Εφημερίδα της Κυβερνήσεως, σε κάθε άλλη αντίθετη διάταξη καταργείται.</w:t>
      </w:r>
    </w:p>
    <w:p>
      <w:pPr>
        <w:pStyle w:val="Heading6"/>
        <w:spacing w:before="240" w:after="240"/>
        <w:rPr>
          <w:lang w:val="el" w:eastAsia="el"/>
        </w:rPr>
      </w:pPr>
      <w:r>
        <w:rPr>
          <w:rStyle w:val="article-num"/>
          <w:b/>
          <w:bCs/>
          <w:lang w:val="el" w:eastAsia="el"/>
        </w:rPr>
        <w:t>ΑΡΘΡΟ 5</w:t>
      </w:r>
    </w:p>
    <w:p>
      <w:pPr>
        <w:spacing w:before="240" w:after="240"/>
        <w:rPr>
          <w:lang w:val="el" w:eastAsia="el"/>
        </w:rPr>
      </w:pPr>
      <w:r>
        <w:rPr>
          <w:lang w:val="el" w:eastAsia="el"/>
        </w:rPr>
        <w:t>Η ισχύς της παρούσας αρχίζει από τη δημοσίευσή της στην Εφημερίδα της Κυβέρνησης.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1. Ελεγκτικό Συνέδριο Β΄ Υπηρεσία Επιτρόπου</w:t>
      </w:r>
    </w:p>
    <w:p>
      <w:pPr>
        <w:spacing w:before="240" w:after="240"/>
        <w:rPr>
          <w:lang w:val="el" w:eastAsia="el"/>
        </w:rPr>
      </w:pPr>
      <w:r>
        <w:rPr>
          <w:lang w:val="el" w:eastAsia="el"/>
        </w:rPr>
        <w:t>2. Όλες οι Δ.Ο.Υ.</w:t>
      </w:r>
    </w:p>
    <w:p>
      <w:pPr>
        <w:spacing w:before="240" w:after="240"/>
        <w:rPr>
          <w:lang w:val="el" w:eastAsia="el"/>
        </w:rPr>
      </w:pPr>
      <w:r>
        <w:rPr>
          <w:lang w:val="el" w:eastAsia="el"/>
        </w:rPr>
        <w:t>3. Γραφείο κ. Υπουργού</w:t>
      </w:r>
    </w:p>
    <w:p>
      <w:pPr>
        <w:spacing w:before="240" w:after="240"/>
        <w:rPr>
          <w:lang w:val="el" w:eastAsia="el"/>
        </w:rPr>
      </w:pPr>
      <w:r>
        <w:rPr>
          <w:lang w:val="el" w:eastAsia="el"/>
        </w:rPr>
        <w:t>4. Γραφεία κ. Υφυπουργού Οικονομικών</w:t>
      </w:r>
    </w:p>
    <w:p>
      <w:pPr>
        <w:spacing w:before="240" w:after="240"/>
        <w:rPr>
          <w:lang w:val="el" w:eastAsia="el"/>
        </w:rPr>
      </w:pPr>
      <w:r>
        <w:rPr>
          <w:lang w:val="el" w:eastAsia="el"/>
        </w:rPr>
        <w:t>5. Όλες οι Φορολογικές Περιφέρειες</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Γραφεία κ. κ. Γενικών Διευθυντών</w:t>
      </w:r>
    </w:p>
    <w:p>
      <w:pPr>
        <w:spacing w:before="240" w:after="240"/>
        <w:rPr>
          <w:lang w:val="el" w:eastAsia="el"/>
        </w:rPr>
      </w:pPr>
      <w:r>
        <w:rPr>
          <w:lang w:val="el" w:eastAsia="el"/>
        </w:rPr>
        <w:t>3. Δ/νση Εφαρμογής Άμεσης Φορολογίας</w:t>
      </w:r>
    </w:p>
    <w:p>
      <w:pPr>
        <w:spacing w:before="240" w:after="240"/>
        <w:rPr>
          <w:lang w:val="el" w:eastAsia="el"/>
        </w:rPr>
      </w:pPr>
      <w:r>
        <w:rPr>
          <w:lang w:val="el" w:eastAsia="el"/>
        </w:rPr>
        <w:t>4. Δ/νση Επιχειρησιακών Διαδικασιών</w:t>
      </w:r>
    </w:p>
    <w:p>
      <w:pPr>
        <w:spacing w:before="240" w:after="240"/>
        <w:rPr>
          <w:lang w:val="el" w:eastAsia="el"/>
        </w:rPr>
      </w:pPr>
      <w:r>
        <w:rPr>
          <w:lang w:val="el" w:eastAsia="el"/>
        </w:rPr>
        <w:t>5. Δ/νση Ανάπτυξης Φορολογικών Εφαρμογών</w:t>
      </w:r>
    </w:p>
    <w:p>
      <w:pPr>
        <w:spacing w:before="240" w:after="240"/>
        <w:rPr>
          <w:lang w:val="el" w:eastAsia="el"/>
        </w:rPr>
      </w:pPr>
      <w:r>
        <w:rPr>
          <w:lang w:val="el" w:eastAsia="el"/>
        </w:rPr>
        <w:t>6. Δ/νση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