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1155</w:t>
      </w:r>
    </w:p>
    <w:p>
      <w:pPr>
        <w:spacing w:before="240" w:after="240"/>
        <w:rPr>
          <w:lang w:val="el" w:eastAsia="el"/>
        </w:rPr>
      </w:pPr>
      <w:r>
        <w:rPr>
          <w:b/>
          <w:bCs/>
          <w:lang w:val="el" w:eastAsia="el"/>
        </w:rPr>
        <w:t>Παράταση της προθεσμίας υποβολής πληροφοριών και μηδενικών αναφορών (nil reporting) από τα Δηλούντα Ελληνικά Χρηματοπιστωτικά Ιδρύματα στο πλαίσιο εφαρμογής του Κοινού Προτύπου Αναφοράς (ΚΠΑ).</w:t>
      </w:r>
    </w:p>
    <w:p>
      <w:pPr>
        <w:spacing w:before="240" w:after="240"/>
        <w:rPr>
          <w:lang w:val="el" w:eastAsia="el"/>
        </w:rPr>
      </w:pPr>
      <w:r>
        <w:rPr>
          <w:lang w:val="el" w:eastAsia="el"/>
        </w:rPr>
        <w:t>Ο ΔΙΟΙΚΗΤΗΣ ΤΗΣ ΑΝΕΞΑΡΤΗΤΗΣ</w:t>
      </w:r>
    </w:p>
    <w:p>
      <w:pPr>
        <w:spacing w:before="240" w:after="240"/>
        <w:rPr>
          <w:lang w:val="el" w:eastAsia="el"/>
        </w:rPr>
      </w:pPr>
      <w:r>
        <w:rPr>
          <w:lang w:val="el" w:eastAsia="el"/>
        </w:rPr>
        <w:t>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 παρ. 1 και 4 του ν. 4170/2013 «Ενσωμάτωση της Οδηγίας 2011/16/ΕΕ, ρύθμιση θεμάτων της ΕΛ.Τ.Ε., αναμόρφωση Οργανισμού του Ν.Σ.Κ. και άλλες διατάξεις» (Α’ 163), σε συνδυασμό με τη διάταξη του άρθρου 4, παρ. 1 και 3 και του άρθρου 9, παρ.1 περίπτ. β' και του Κεφαλαίου Η' με τα Παραρτήματα Ι και II του ίδιου νόμου, όπως τροποποιήθηκε, συμπληρώθηκε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άρθρου δεύτερου, παρ. 1 του ν. 4428/2016 «Κύρωση της Πολυμερούς Συμφωνίας Αρμόδιων Αρχών για την Αυτόματη Ανταλλαγή Πληροφοριών Χρηματοοικονομικών Λογαριασμών και διατάξεις εφαρμογής» (Α ’190), σε συνδυασμό με τη διάταξη του άρθρου δεύτερου, παρ. 3 υποπαρ. α' και του άρθρου τρίτου με τα Παραρτήματα Ι και II του ίδιου νόμου,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άρθρου 9, παρ. 7 περίπτ. γ' του ν. 4170/2013 και ιδίως για την έκδοση απόφασης του Διοικητή της Ανεξάρτητης Αρχής Δημοσίων Εσόδων, για τον καθορισμό του χρόνου και του τρόπου υποβολής των στοιχείων από τα Δηλούντα Χρηματοπιστωτικά Ιδρύματα, καθώς και λοιπών θεμάτων σχετικά με την αυτόματη ανταλλαγή πληροφοριών χρηματοοικονομικών λογαριασμών, σε συνδυασμό με τη διάταξη του άρθρου 9, παρ.1 περίπτ. β' του ίδιου νόμου, όπως τροποποιήθηκε, συμπληρώθηκε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πέμπτου, παρ. 5 του ν. 4428/2016 και ιδίως για την έκδοση απόφασης του Διοικητή της Ανεξάρτητης Αρχής Δημοσίων Εσόδων για την εξειδίκευση και συμπλήρωση των διαδικασιών και υποχρεώσεων που αφορούν την υποβολή στοιχείων και την τήρηση των κανόνων δέουσας επιμέλειας από τα Δηλούντα Χρηματοπιστωτικά Ιδρύματα και κάθε άλλου συναφούς θέματος σχετικά με την αυτόματη ανταλλαγή πληροφοριών (Α’ 190).</w:t>
      </w:r>
    </w:p>
    <w:p>
      <w:pPr>
        <w:pStyle w:val="StructureList1"/>
        <w:spacing w:before="120" w:after="0"/>
        <w:rPr>
          <w:lang w:val="el" w:eastAsia="el"/>
        </w:rPr>
      </w:pPr>
      <w:r>
        <w:rPr>
          <w:lang w:val="el" w:eastAsia="el"/>
        </w:rPr>
        <w:t>ε)</w:t>
      </w:r>
      <w:r>
        <w:rPr>
          <w:lang w:val="en" w:eastAsia="en"/>
        </w:rPr>
        <w:tab/>
      </w:r>
      <w:r>
        <w:rPr>
          <w:lang w:val="el" w:eastAsia="el"/>
        </w:rPr>
        <w:t>Του άρθρου τέταρτου, παρ. 2 περίπτ. γ' του ν. 4515/2018 «Κύρωση του Τροποποιητικού Πρωτοκόλλου της Συμφωνίας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(Α’ 18) και ιδίως για την έκδοση απόφασης του Διοικητή της Ανεξάρτητης Αρχής Δημοσίων Εσόδων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δεύτερου, παρ. 1 περίπτ. α' και παρ. 3 περίπτ. α' του ίδιου νόμου και τα Παραρτήματα Ι και II της Συμφωνίας.</w:t>
      </w:r>
    </w:p>
    <w:p>
      <w:pPr>
        <w:pStyle w:val="StructureList1"/>
        <w:spacing w:before="120" w:after="0"/>
        <w:rPr>
          <w:lang w:val="el" w:eastAsia="el"/>
        </w:rPr>
      </w:pPr>
      <w:r>
        <w:rPr>
          <w:lang w:val="el" w:eastAsia="el"/>
        </w:rPr>
        <w:t>στ)</w:t>
      </w:r>
      <w:r>
        <w:rPr>
          <w:lang w:val="en" w:eastAsia="en"/>
        </w:rPr>
        <w:tab/>
      </w:r>
      <w:r>
        <w:rPr>
          <w:lang w:val="el" w:eastAsia="el"/>
        </w:rPr>
        <w:t>Του άρθρου τέταρτου, παρ. 2 περίπτ. β' του ν. 4516/2018 «Κύρωση του Τροποποιητικού Πρωτοκόλλου της Συμφωνίας μεταξύ της Ευρωπαϊκής Κοινότητας και του Πριγκιπάτου του Λιχτενστάιν που προβλέπει μέτρα ισοδύναμα με τα θεσπιζόμενα στην Οδηγία 2003/48/ 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(Α’ 19) και ιδίως για την έκδοση απόφασης του Διοικητή της Ανεξάρτητης Αρχής Δημοσίων Εσόδων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δεύτερου, παρ. 1 περίπτ. α' και παρ. 3 περίπτ. α' του ίδιου νόμου και τα Παραρτήματα Ι και II της Συμφωνίας.</w:t>
      </w:r>
    </w:p>
    <w:p>
      <w:pPr>
        <w:pStyle w:val="StructureList1"/>
        <w:spacing w:before="120" w:after="0"/>
        <w:rPr>
          <w:lang w:val="el" w:eastAsia="el"/>
        </w:rPr>
      </w:pPr>
      <w:r>
        <w:rPr>
          <w:lang w:val="el" w:eastAsia="el"/>
        </w:rPr>
        <w:t>ζ)</w:t>
      </w:r>
      <w:r>
        <w:rPr>
          <w:lang w:val="en" w:eastAsia="en"/>
        </w:rPr>
        <w:tab/>
      </w:r>
      <w:r>
        <w:rPr>
          <w:lang w:val="el" w:eastAsia="el"/>
        </w:rPr>
        <w:t>Του Τροποποιητικού Πρωτοκόλλου (ΕΕ L 333 της 19.12.2015) της Συμφωνίας μεταξύ της Ευρωπαϊκής Κοινότητας και της Ελβετικής Συνομοσπονδίας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(ΕΕ L 385 της 29.12.2004), που κυρώθηκε με τις διατάξεις του ν. 3363/2005 (Α' 159) και ιδίως τα άρθρα 1, 2 και 3 και τα Παραρτήματα Ι και II της Συμφωνίας, σε συνδυασμό με τη διάταξη του άρθρου 15, παρ. 4 του ν. 4174/2013 (Α' 170).</w:t>
      </w:r>
    </w:p>
    <w:p>
      <w:pPr>
        <w:pStyle w:val="StructureList1"/>
        <w:spacing w:before="120" w:after="0"/>
        <w:rPr>
          <w:lang w:val="el" w:eastAsia="el"/>
        </w:rPr>
      </w:pPr>
      <w:r>
        <w:rPr>
          <w:lang w:val="el" w:eastAsia="el"/>
        </w:rPr>
        <w:t>η)</w:t>
      </w:r>
      <w:r>
        <w:rPr>
          <w:lang w:val="en" w:eastAsia="en"/>
        </w:rPr>
        <w:tab/>
      </w:r>
      <w:r>
        <w:rPr>
          <w:lang w:val="el" w:eastAsia="el"/>
        </w:rPr>
        <w:t>Του τροποποιητικού πρωτοκόλλου (ΕΕ L 268 της 1.10.2016) της Συμφωνίας μεταξύ της Ευρωπαϊκής Κοινότητας και του Πριγκιπάτου της Ανδόρας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(ΕΕ L 359 της 4.12.2004), που κυρώθηκε με τις διατάξεις του ν. 3361/2005 (Α' 157) και ιδίως τα άρθρα 1, 2 και 3 και τα Παραρτήματα Ι και II της Συμφωνίας, σε συνδυασμό με τη διάταξη του άρθρου 15, παρ. 4 του ν. 4174/2013.</w:t>
      </w:r>
    </w:p>
    <w:p>
      <w:pPr>
        <w:pStyle w:val="StructureList1"/>
        <w:spacing w:before="120" w:after="0"/>
        <w:rPr>
          <w:lang w:val="el" w:eastAsia="el"/>
        </w:rPr>
      </w:pPr>
      <w:r>
        <w:rPr>
          <w:lang w:val="el" w:eastAsia="el"/>
        </w:rPr>
        <w:t>θ)</w:t>
      </w:r>
      <w:r>
        <w:rPr>
          <w:lang w:val="en" w:eastAsia="en"/>
        </w:rPr>
        <w:tab/>
      </w:r>
      <w:r>
        <w:rPr>
          <w:lang w:val="el" w:eastAsia="el"/>
        </w:rPr>
        <w:t>Του τροποποιητικού πρωτοκόλλου (ΕΕ L 225 της 19.8.2016) της Συμφωνίας μεταξύ της Ευρωπαϊκής Κοινότητας και του Πριγκιπάτου του Μονακό που προβλέπει μέτρα ισοδύναμα με τα θεσπιζόμενα στην οδηγία 2003/48/ΕΚ του Συμβουλίου για τη φορολόγηση των υπό μορφή τόκων εισοδημάτων από αποταμιεύσεις (ΕΕ L 19 της 21.1.2005), που κυρώθηκε με τις διατάξεις του ν. 3364/2005 (Α' 160) και ιδίως τα άρθρα 1, 2 και 3 και τα Παραρτήματα Ι και II της Συμφωνίας, σε συνδυασμό με τη διάταξη του άρθρου 15, παρ. 4 του ν. 4174/2013.</w:t>
      </w:r>
    </w:p>
    <w:p>
      <w:pPr>
        <w:pStyle w:val="StructureList1"/>
        <w:spacing w:before="120" w:after="0"/>
        <w:rPr>
          <w:lang w:val="el" w:eastAsia="el"/>
        </w:rPr>
      </w:pPr>
      <w:r>
        <w:rPr>
          <w:lang w:val="el" w:eastAsia="el"/>
        </w:rPr>
        <w:t>ι)</w:t>
      </w:r>
      <w:r>
        <w:rPr>
          <w:lang w:val="en" w:eastAsia="en"/>
        </w:rPr>
        <w:tab/>
      </w:r>
      <w:r>
        <w:rPr>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lang w:val="el" w:eastAsia="el"/>
        </w:rPr>
        <w:t>ια)</w:t>
      </w:r>
      <w:r>
        <w:rPr>
          <w:lang w:val="en" w:eastAsia="en"/>
        </w:rPr>
        <w:tab/>
      </w:r>
      <w:r>
        <w:rPr>
          <w:lang w:val="el" w:eastAsia="el"/>
        </w:rPr>
        <w:t>Του άρθρου 54 Γ του ν. 4174/2013, αναφορικά με τα πρόστιμα για παραβάσεις υποχρεώσεων για την αυτόματη ανταλλαγή πληροφοριών χρηματοοικονομικών λογαριασμών σε συνδυασμό με τις διατάξεις του άρθρου 29 του ίδιου Κώδικα.</w:t>
      </w:r>
    </w:p>
    <w:p>
      <w:pPr>
        <w:pStyle w:val="StructureList1"/>
        <w:spacing w:before="120" w:after="0"/>
        <w:rPr>
          <w:lang w:val="el" w:eastAsia="el"/>
        </w:rPr>
      </w:pPr>
      <w:r>
        <w:rPr>
          <w:lang w:val="el" w:eastAsia="el"/>
        </w:rPr>
        <w:t>ιβ)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2. Την υπ’ αρ. ΠΟΛ. 1130/4.8.2017 (Β' 3087) απόφαση του Διοικητή της Ανεξάρτητης Αρχής Δημοσίων Εσόδων «Καθορισμός των αρμόδιων Υπηρεσιών της Ανεξάρτητης Αρχής Δημοσίων Εσόδων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εφαρμογή του Κοινού Προτύπου Αναφοράς (ΚΠΑ) για την αυτόματη ανταλλαγή πληροφοριών χρηματοοικονομικών λογαριασμών», όπως τροποποιήθηκε διαδοχικά με τις υπ’ αρ. ΠΟΛ. 1140/14.9.2017 (Β' 3254), ΠΟΛ. 1102/31.5.2018 (Β' 1986) και Α. 1204/23.5.2019 (Β' 1869) όμοιες αποφάσεις και ισχύει.</w:t>
      </w:r>
    </w:p>
    <w:p>
      <w:pPr>
        <w:spacing w:before="240" w:after="240"/>
        <w:rPr>
          <w:lang w:val="el" w:eastAsia="el"/>
        </w:rPr>
      </w:pPr>
      <w:r>
        <w:rPr>
          <w:lang w:val="el" w:eastAsia="el"/>
        </w:rPr>
        <w:t>3. Την υπ’ αρ. Δ. ΟΡΓ. Α 1036960 ΕΞ 2017/10.3.2017 (Β '968 και Β' 1238) απόφαση του Διοικητή της Ανεξάρτητης Αρχής Δημοσίων Εσόδων «Οργανισμός της Ανεξάρτητης Αρχής Δημοσίων Εσόδων (A.A.Δ.Ε.)», όπως τροποποιήθηκε, συμπληρώθηκε και ισχύει.</w:t>
      </w:r>
    </w:p>
    <w:p>
      <w:pPr>
        <w:spacing w:before="240" w:after="240"/>
        <w:rPr>
          <w:lang w:val="el" w:eastAsia="el"/>
        </w:rPr>
      </w:pPr>
      <w:r>
        <w:rPr>
          <w:lang w:val="el" w:eastAsia="el"/>
        </w:rPr>
        <w:t>4. Την υπ’ αρ.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υπ’ αρ. Δ6Α 1145867 ΕΞ2013/25.9.2013 (Β' 2417) υπουργική απόφαση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lang w:val="el" w:eastAsia="el"/>
        </w:rPr>
        <w:t>5.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Ανεξάρτητης Αρχής Δημοσίων Εσόδων και υπ’ αρ. 5294 Εζ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6. Την εισήγηση της Διεύθυνσης Διεθνών Οικονομικών Σχέσεων της Ανεξάρτητης Αρχής Δημοσίων Εσόδων ως αρμόδιας αρχής κατά το άρθρο 5 παρ. 1 του ν. 4170/2013, σε συνδυασμό με τις διατάξεις του άρθρου δεύτερου, παρ. 1 του ν. 4428/2016, του ν. 4515/2018 και του ν. 4516/2018.</w:t>
      </w:r>
    </w:p>
    <w:p>
      <w:pPr>
        <w:spacing w:before="240" w:after="240"/>
        <w:rPr>
          <w:lang w:val="el" w:eastAsia="el"/>
        </w:rPr>
      </w:pPr>
      <w:r>
        <w:rPr>
          <w:lang w:val="el" w:eastAsia="el"/>
        </w:rPr>
        <w:t>7. Την ανάγκη διευκόλυνσης των Δηλούντων Ελληνικών Χρηματοπιστωτικών Ιδρυμάτων για την εκπλήρωση των υποχρεώσεων τους στο πλαίσιο εφαρμογής των κανόνων δέουσας επιμέλειας και υποβολής πληροφοριών, σύμφωνα με το Κοινό Πρότυπο Αναφοράς (ΚΠΑ), όπως ορίζεται στην παρ. 1 του άρθρου 1 της υπ’ αρ. ΠΟΛ. 1130/4.8.2017 απόφασης του Διοικητή της Ανεξάρτητης Αρχής Δημοσίων Εσόδων, κατά τη διάρκεια των μέτρων αντιμετώπισης της διασποράς του κορωνοϊού COVID-19, προκειμένου να διασφαλιστεί η αποτελεσματική αυτόματη ανταλλαγή πληροφοριών χρηματοοικονομικών λογαριασμών μεταξύ των Αρμόδιων Αρχών της Ελληνικής Δημοκρατίας και των Αρμόδιων Αρχών των αλλοδαπών δικαιοδοσιών.</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αποφασίζουμε:</w:t>
      </w:r>
    </w:p>
    <w:p>
      <w:pPr>
        <w:spacing w:before="240" w:after="240"/>
        <w:rPr>
          <w:lang w:val="el" w:eastAsia="el"/>
        </w:rPr>
      </w:pPr>
      <w:r>
        <w:rPr>
          <w:lang w:val="el" w:eastAsia="el"/>
        </w:rPr>
        <w:t>Παρατείνεται η προθεσμία υποβολής πληροφοριών και μηδενικών αναφορών (nil reporting) από τα Δηλούντα Ελληνικά Χρηματοπιστωτικά Ιδρύματα προς την Ανεξάρτητη Αρχή Δημοσίων Εσόδων κατά το τρέχον έτος, στο πλαίσιο εφαρμογής του Κοινού Προτύπου Αναφοράς (ΚΠΑ), όπως ορίζεται στην παρ. 1 του άρθρου 1 της υπ’ αρ. ΠΟΛ. 1130/4.8.2017 απόφασης του Διοικητή της Ανεξάρτητης Αρχής Δημοσίων Εσόδων, έως την 18η Σεπτεμβρίου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