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ΕΛΕΓΧΩΝ ΤΜΗΜΑ Ζ’</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ΑΔΑ: 9ΩΜΟ46ΜΠ3Ζ-Τ4Σ</w:t>
      </w:r>
    </w:p>
    <w:p>
      <w:pPr>
        <w:spacing w:before="240" w:after="240"/>
        <w:rPr>
          <w:lang w:val="el" w:eastAsia="el"/>
        </w:rPr>
      </w:pPr>
      <w:r>
        <w:rPr>
          <w:b/>
          <w:bCs/>
          <w:lang w:val="el" w:eastAsia="el"/>
        </w:rPr>
        <w:t>Αριθ. ΦΕΚ: 2725 B΄/3.7.2020</w:t>
      </w:r>
    </w:p>
    <w:p>
      <w:pPr>
        <w:spacing w:before="240" w:after="240"/>
        <w:rPr>
          <w:lang w:val="el" w:eastAsia="el"/>
        </w:rPr>
      </w:pPr>
      <w:r>
        <w:rPr>
          <w:b/>
          <w:bCs/>
          <w:lang w:val="el" w:eastAsia="el"/>
        </w:rPr>
        <w:t>Αθήνα, 30 Ιουνίου 2020</w:t>
      </w:r>
    </w:p>
    <w:p>
      <w:pPr>
        <w:spacing w:before="240" w:after="240"/>
        <w:rPr>
          <w:lang w:val="el" w:eastAsia="el"/>
        </w:rPr>
      </w:pPr>
      <w:r>
        <w:rPr>
          <w:b/>
          <w:bCs/>
          <w:lang w:val="el" w:eastAsia="el"/>
        </w:rPr>
        <w:t>ΑA11A.</w:t>
      </w:r>
    </w:p>
    <w:p>
      <w:pPr>
        <w:spacing w:before="240" w:after="240"/>
        <w:rPr>
          <w:lang w:val="el" w:eastAsia="el"/>
        </w:rPr>
      </w:pPr>
      <w:r>
        <w:rPr>
          <w:b/>
          <w:bCs/>
          <w:lang w:val="el" w:eastAsia="el"/>
        </w:rPr>
        <w:t>A.1159</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Τροποποίηση της απόφασης Γ.Γ.Δ.Ε. ΠΟΛ.1022/2014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3 και 4 του άρθρου 14 του Ν.4174/2013,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Την απόφαση του Γενικού Γραμματέα Δημοσίων Εσόδων ΠΟΛ. 1022/7.1.2014 (179 Β΄)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3.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για διασταύρωση πληροφοριών του ημερολογιακού έτους 2019, δεδομένων των μέτρων που λαμβάνονται για την αντιμετώπιση των αρνητικών συνεπειών εμφάνισης του κορωνοϊού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ΠΟΛ.1022/2014 (Β΄179)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Το τελευταίο εδάφιο της παραγράφου 1 του άρθρου 4 αντικαθίσταται ως εξής: « Για το ημερολογιακό έτος 2019, η υποβολή των καταστάσεων των ως άνω περιπτώσεων θεωρείται εμπρόθεσμη μέχρι και την 06/07/2020».</w:t>
      </w:r>
    </w:p>
    <w:p>
      <w:pPr>
        <w:spacing w:before="240" w:after="240"/>
        <w:rPr>
          <w:lang w:val="el" w:eastAsia="el"/>
        </w:rPr>
      </w:pPr>
      <w:r>
        <w:rPr>
          <w:lang w:val="el" w:eastAsia="el"/>
        </w:rPr>
        <w:t>2. Το τελευταίο εδάφιο του άρθρου 6 τροποποιείται ως εξής: «Εξαιρετικά για το ημερολογιακό έτος 2019, για τη διόρθωση των αποκλίσεων στα υποβληθέντα στοιχεία προμηθευτών θεωρείται εμπρόθεσμη, τροποποιητική δήλωση που υποβλήθηκε μέχρι και μία (1) ημέρα πριν την καταληκτική ημερομηνία υποβολής της δήλωσης φορολογίας εισοδήματος φυσικών προσώπων, ήτοι μέχρι και την 28/07/2020».</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4"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Προϊστάμενος της Γενικής Δ/νσης ΣΔΟΕ</w:t>
      </w:r>
    </w:p>
    <w:p>
      <w:pPr>
        <w:spacing w:before="240" w:after="240"/>
        <w:rPr>
          <w:lang w:val="el" w:eastAsia="el"/>
        </w:rPr>
      </w:pPr>
      <w:r>
        <w:rPr>
          <w:lang w:val="el" w:eastAsia="el"/>
        </w:rPr>
        <w:t>4. Δ/νσεις Κ.Υ. ΣΔΟΕ και ειδικές αποκεντρωμένες υπηρεσίες ΣΔΟΕ</w:t>
      </w:r>
    </w:p>
    <w:p>
      <w:pPr>
        <w:spacing w:before="240" w:after="240"/>
        <w:rPr>
          <w:lang w:val="el" w:eastAsia="el"/>
        </w:rPr>
      </w:pPr>
      <w:r>
        <w:rPr>
          <w:lang w:val="el" w:eastAsia="el"/>
        </w:rPr>
        <w:t>5. Αποδέκτες πίνακα Ζ’</w:t>
      </w:r>
    </w:p>
    <w:p>
      <w:pPr>
        <w:spacing w:before="240" w:after="240"/>
        <w:rPr>
          <w:lang w:val="el" w:eastAsia="el"/>
        </w:rPr>
      </w:pPr>
      <w:r>
        <w:rPr>
          <w:lang w:val="el" w:eastAsia="el"/>
        </w:rPr>
        <w:t>6. Αποδέκτες πίνακα Η΄</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