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148/2020</w:t>
      </w:r>
    </w:p>
    <w:p>
      <w:pPr>
        <w:pStyle w:val="Title"/>
        <w:spacing w:before="120" w:after="360"/>
        <w:rPr>
          <w:lang w:val="el" w:eastAsia="el"/>
        </w:rPr>
      </w:pPr>
      <w:r>
        <w:rPr>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w:t>
      </w:r>
    </w:p>
    <w:p>
      <w:pPr>
        <w:pStyle w:val="PreambelText"/>
        <w:spacing w:before="240" w:after="240"/>
        <w:rPr>
          <w:lang w:val="el" w:eastAsia="el"/>
        </w:rPr>
      </w:pPr>
      <w:r>
        <w:rPr>
          <w:b/>
          <w:bCs/>
          <w:lang w:val="el" w:eastAsia="el"/>
        </w:rPr>
        <w:t>Αριθμ. ΓΔΟΥ 148/2020</w:t>
      </w:r>
    </w:p>
    <w:p>
      <w:pPr>
        <w:pStyle w:val="PreambelText"/>
        <w:spacing w:before="240" w:after="240"/>
        <w:rPr>
          <w:lang w:val="el" w:eastAsia="el"/>
        </w:rPr>
      </w:pPr>
      <w:r>
        <w:rPr>
          <w:lang w:val="el" w:eastAsia="el"/>
        </w:rPr>
        <w:t>(ΦΕΚ Β' 2729/04.07.2020)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Tις διατάξεις του άρθρου τρίτου του Μέρους Α' της από 30.3.2020 Πράξης Νομοθετικού Περιεχομένου «Μέτρα αντιμετώπισης της πανδημίας του κορωνοϊού COVID-19 και άλλες κατεπείγουσες διατάξεις» (Α' 75), που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που κυρώθηκε με το άρθρο 1 του ν. 4690/2020 (Α' 104) και ειδικότερα της παρ. 3 αυτού,</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Κανονισμό (ΕΕ) 2013/1407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pStyle w:val="PreambelText"/>
        <w:spacing w:before="240" w:after="240"/>
        <w:rPr>
          <w:lang w:val="el" w:eastAsia="el"/>
        </w:rPr>
      </w:pPr>
      <w:r>
        <w:rPr>
          <w:lang w:val="el" w:eastAsia="el"/>
        </w:rPr>
        <w:t>4. Τον Κανονισμό (ΕΕ) 2014/ 651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pStyle w:val="PreambelText"/>
        <w:spacing w:before="240" w:after="240"/>
        <w:rPr>
          <w:lang w:val="el" w:eastAsia="el"/>
        </w:rPr>
      </w:pPr>
      <w:r>
        <w:rPr>
          <w:lang w:val="el" w:eastAsia="el"/>
        </w:rPr>
        <w:t>5. Τον Κανονισμό (ΕΕ) 2013/1301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(L 347), όπως τροποποιήθηκε με τον Κανονισμό (ΕΕ) 2020/460 του Ευρωπαϊκού Κοινοβουλίου της 30ης Μαρτίου 2020 (L 99) και ειδικότερα την τροποποίηση της παρ. 1 του άρθρου 3 του Κανονισμού 2013/1301,</w:t>
      </w:r>
    </w:p>
    <w:p>
      <w:pPr>
        <w:pStyle w:val="PreambelText"/>
        <w:spacing w:before="240" w:after="240"/>
        <w:rPr>
          <w:lang w:val="el" w:eastAsia="el"/>
        </w:rPr>
      </w:pPr>
      <w:r>
        <w:rPr>
          <w:lang w:val="el" w:eastAsia="el"/>
        </w:rPr>
        <w:t>6. Τον Κανονισμό (ΕΕ) 2013/1303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(L 347), όπως τροποποιήθηκε και ισχύει,</w:t>
      </w:r>
    </w:p>
    <w:p>
      <w:pPr>
        <w:pStyle w:val="PreambelText"/>
        <w:spacing w:before="240" w:after="240"/>
        <w:rPr>
          <w:lang w:val="el" w:eastAsia="el"/>
        </w:rPr>
      </w:pPr>
      <w:r>
        <w:rPr>
          <w:lang w:val="el" w:eastAsia="el"/>
        </w:rPr>
        <w:t>7. Την ανακοίνωση της Ευρωπαϊκής Επιτροπής (ΕΕ) υπ' αρ.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8. Τις διατάξεις του ν. 4314/2014 «Α) 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τροποποιήθηκε και ισχύει,</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 και ειδικότερα τα άρθρα 23, 56, 78, 79 και 80,</w:t>
      </w:r>
    </w:p>
    <w:p>
      <w:pPr>
        <w:pStyle w:val="PreambelText"/>
        <w:spacing w:before="240" w:after="240"/>
        <w:rPr>
          <w:lang w:val="el" w:eastAsia="el"/>
        </w:rPr>
      </w:pPr>
      <w:r>
        <w:rPr>
          <w:lang w:val="el" w:eastAsia="el"/>
        </w:rPr>
        <w:t>10. Τις διατάξεις της παρ. 4 της Υποπαρ. Β.10 της Παρ. Β του άρθρου πρώτου του ν. 4152/2013 «Επείγοντα μέτρα εφαρμογής του ν. 4046/2012, του ν. 4093/2012 και του ν. 4172/2013» (Α' 107),</w:t>
      </w:r>
    </w:p>
    <w:p>
      <w:pPr>
        <w:pStyle w:val="PreambelText"/>
        <w:spacing w:before="240" w:after="240"/>
        <w:rPr>
          <w:lang w:val="el" w:eastAsia="el"/>
        </w:rPr>
      </w:pPr>
      <w:r>
        <w:rPr>
          <w:lang w:val="el" w:eastAsia="el"/>
        </w:rPr>
        <w:t>11.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12. Τις διατάξεις του ν.δ. 356/1974 (Α' 90), όπως ισχύουν,</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15.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16. Το π.δ. 142/2017 «Οργανισμός Υπουργείου Οικονομικών» (Α' 181),</w:t>
      </w:r>
    </w:p>
    <w:p>
      <w:pPr>
        <w:pStyle w:val="PreambelText"/>
        <w:spacing w:before="240" w:after="240"/>
        <w:rPr>
          <w:lang w:val="el" w:eastAsia="el"/>
        </w:rPr>
      </w:pPr>
      <w:r>
        <w:rPr>
          <w:lang w:val="el" w:eastAsia="el"/>
        </w:rPr>
        <w:t>17. Το π.δ. 147/2017 «Οργανισμός του Υπουργείου Οικονομίας και Ανάπτυξης» (Α' 192),</w:t>
      </w:r>
    </w:p>
    <w:p>
      <w:pPr>
        <w:pStyle w:val="PreambelText"/>
        <w:spacing w:before="240" w:after="240"/>
        <w:rPr>
          <w:lang w:val="el" w:eastAsia="el"/>
        </w:rPr>
      </w:pPr>
      <w:r>
        <w:rPr>
          <w:lang w:val="el" w:eastAsia="el"/>
        </w:rPr>
        <w:t>18. Το π.δ. 80/2016 «Ανάληψη υποχρεώσεων από τους διατάκτες» (Α' 145),</w:t>
      </w:r>
    </w:p>
    <w:p>
      <w:pPr>
        <w:pStyle w:val="PreambelText"/>
        <w:spacing w:before="240" w:after="240"/>
        <w:rPr>
          <w:lang w:val="el" w:eastAsia="el"/>
        </w:rPr>
      </w:pPr>
      <w:r>
        <w:rPr>
          <w:lang w:val="el" w:eastAsia="el"/>
        </w:rPr>
        <w:t>19.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20. Την υπ' αρ.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21.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22. 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23. Την υπ' αρ. 47/18.07.2019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3100),</w:t>
      </w:r>
    </w:p>
    <w:p>
      <w:pPr>
        <w:pStyle w:val="PreambelText"/>
        <w:spacing w:before="240" w:after="240"/>
        <w:rPr>
          <w:lang w:val="el" w:eastAsia="el"/>
        </w:rPr>
      </w:pPr>
      <w:r>
        <w:rPr>
          <w:lang w:val="el" w:eastAsia="el"/>
        </w:rPr>
        <w:t>24.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 ΕΞ 17-01-2020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25. Την υπ' αρ. ΓΔΟΥ 131/13.6.2020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(Β' 2276),</w:t>
      </w:r>
    </w:p>
    <w:p>
      <w:pPr>
        <w:pStyle w:val="PreambelText"/>
        <w:spacing w:before="240" w:after="240"/>
        <w:rPr>
          <w:lang w:val="el" w:eastAsia="el"/>
        </w:rPr>
      </w:pPr>
      <w:r>
        <w:rPr>
          <w:lang w:val="el" w:eastAsia="el"/>
        </w:rPr>
        <w:t>26. Την υπ' αρ. ΓΔΟΥ 94/2.5.2020 κοινή απόφαση των Υπουργών Οικονομικών και Ανάπτυξης και Επενδύσεων «Διαδικασία και Προϋποθέσεις χορήγησης ενίσχυσης με η μορφή επιστρεπτέας προκαταβολής σε επιχειρήσεις που επλήγησαν οικονομικά λόγω της εμφάνισης και διάδοσης της νόσου του κορωνοϊού COVID-19» (Β' 1645), όπως τροποποιήθηκε με την υπ' αρ. ΓΔΟΥ 101/15.5.2020 (Β' 1862) όμοια απόφαση,</w:t>
      </w:r>
    </w:p>
    <w:p>
      <w:pPr>
        <w:pStyle w:val="PreambelText"/>
        <w:spacing w:before="240" w:after="240"/>
        <w:rPr>
          <w:lang w:val="el" w:eastAsia="el"/>
        </w:rPr>
      </w:pPr>
      <w:r>
        <w:rPr>
          <w:lang w:val="el" w:eastAsia="el"/>
        </w:rPr>
        <w:t>27. Την υπ' αρ. Α.1076/2020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τροποποιήθηκε με τις υπ' αρ. Α.1080/2020 (Β' 1294) και Α.1091/2020 (Β' 1466) όμοιες αποφάσεις,</w:t>
      </w:r>
    </w:p>
    <w:p>
      <w:pPr>
        <w:pStyle w:val="PreambelText"/>
        <w:spacing w:before="240" w:after="240"/>
        <w:rPr>
          <w:lang w:val="el" w:eastAsia="el"/>
        </w:rPr>
      </w:pPr>
      <w:r>
        <w:rPr>
          <w:lang w:val="el" w:eastAsia="el"/>
        </w:rPr>
        <w:t>28. Την υπ' αρ. 137675/ΕΥΘΥ1016/19.12.2018 απόφαση του Υφυπουργού Οικονομίας και Ανάπτυξης «Αντικατάσταση της υπ' αριθμ. 110427/ΕΥΘΥ/1020/20.10.2016 (ΦΕΚ Β' 3521) υπουργικής απόφασης με τίτλο “Τροποποίηση και αντικατάσταση της υπ' αριθμ. 81986/ ΕΥΘΥ712/31.7.2015 (Β' 1822) υπουργικής απόφασης"Εθνικοί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pStyle w:val="PreambelText"/>
        <w:spacing w:before="240" w:after="240"/>
        <w:rPr>
          <w:lang w:val="el" w:eastAsia="el"/>
        </w:rPr>
      </w:pPr>
      <w:r>
        <w:rPr>
          <w:lang w:val="el" w:eastAsia="el"/>
        </w:rPr>
        <w:t>29.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Επενδύσεων_ΠΔΕ (Τροποποίηση και αντικατάσταση της κοινής υπουργικής απόφασης 46274/26.09.2014 (ΦΕΚ 2573/τ.Β')» (Β' 2857),</w:t>
      </w:r>
    </w:p>
    <w:p>
      <w:pPr>
        <w:pStyle w:val="PreambelText"/>
        <w:spacing w:before="240" w:after="240"/>
        <w:rPr>
          <w:lang w:val="el" w:eastAsia="el"/>
        </w:rPr>
      </w:pPr>
      <w:r>
        <w:rPr>
          <w:lang w:val="el" w:eastAsia="el"/>
        </w:rPr>
        <w:t>30. Την υπ' αρ.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 2784),</w:t>
      </w:r>
    </w:p>
    <w:p>
      <w:pPr>
        <w:pStyle w:val="PreambelText"/>
        <w:spacing w:before="240" w:after="240"/>
        <w:rPr>
          <w:lang w:val="el" w:eastAsia="el"/>
        </w:rPr>
      </w:pPr>
      <w:r>
        <w:rPr>
          <w:lang w:val="el" w:eastAsia="el"/>
        </w:rPr>
        <w:t>31.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32. Την υπ' αρ. 2/2835/ΔΠΓΚ/02.07.2020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33. Την υπ' αρ. 68622 ΕΞ 2020/02.07.2020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34. Το γεγονός ότι από τις διατάξεις της παρούσας απόφασης προκαλείται πρόσθετη δαπάνη ύψους ενός δισεκατομμυρίου εξήντα εκατομμυρίων (1.060.000.000)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«Ενίσχυση με τη μορφή επιστρεπτέας προκαταβολής σε ιδιωτικές επιχειρήσεις με νομική μορφή», η οποία θα αντιμετωπιστεί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ενώ η δαπάνη ύψους τριακοσίων είκοσι εκατομμυρίων (320.000.000) ευρώ στον προϋπολογισμό του Προγράμματος Δημοσίων Επενδύσεων θα αντιμετωπιστεί από το διαθέσιμο υπόλοιπο της ΣΑΕ 051/2,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 για τους μήνες Μάρτιο, Απρίλιο και Μάιο το 2020.</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 αρ.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2013/1407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2014/ 651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0,94%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υπ' αρ. 2008/C 14/02 (C 14/6 της 19.1.2008), ήτοι -0,15,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2000/104,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2000/104 του Συμβουλίου της 17 ης Δεκεμβρίου 1999 για την κοινή οργάνωση των αγορών των προϊόντων αλιείας και υδατοκαλλιέργειας (L 17/22), και οι οποίοι αντιστοιχούν στους ΚΑΔ του Παραρτήματος III,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2014/651.</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 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 xml:space="preserve">σε περίπτωση που η επιχείρηση έχει θετικό κύκλο εργασιών το πρώτο και δεύτερο τρίμηνο του έτους 2019, ως κύκλος εργασιών αναφοράς λαμβάνεται το άθροισμα του κύκλου εργασιών του πρώτου τριμήνου πολλαπλασιαζόμενο με ένα τρίτο (1/3) και του δεύτερου τριμήνου πολλαπλασιαζόμενο με δύο τρίτα (2/3) του έτους 2019, </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 πρώτο τρίμηνο του έτους 2019 και έχει θετικό κύκλο εργασιών το δεύτερο τρίμηνο του έτους 2019, ως κύκλος εργασιών αναφοράς λαμβάνεται το δεύτερο τρίμηνο του έτους 2019,</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 δεύτερο τρίμηνο του έτους 2019, ως κύκλος εργασιών αναφοράς λαμβάνεται ο συνολικός κύκλος εργασιών του έτους 2019, διαιρεμένος με τέσσερα (ώστε να προκύψει σε τριμηνιαία βάση),</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ολόκληρο το έτος 2019 και έχει θετικό κύκλο εργασιών τον μήνα Φεβρουάριο του έτους 2020, ως κύκλος εργασιών αναφοράς λαμβάνεται ο κύκλος εργασιών Φεβρουαρίου του έτους 2020, πολλαπλασιαζόμενος επί τρία (3),</w:t>
      </w:r>
    </w:p>
    <w:p>
      <w:pPr>
        <w:pStyle w:val="StructureList1"/>
        <w:spacing w:before="120" w:after="0"/>
        <w:rPr>
          <w:lang w:val="el" w:eastAsia="el"/>
        </w:rPr>
      </w:pPr>
      <w:r>
        <w:rPr>
          <w:lang w:val="el" w:eastAsia="el"/>
        </w:rPr>
        <w:t>εε)</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 (0).</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τους μήνες Μάρτιο, Απρίλιο και Μάιο του έτους 2019, ως κύκλος εργασιών αναφοράς λαμβάνεται το άθροισμα του κύκλου εργασιών των μηνών Μαρτίου, Απριλίου και Μαΐου του έτους 2019,</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τον μήνα Μάρτιο του έτους 2019, και έχει θετικό κύκλο εργασιών τους μήνες Απρίλιο και Μάιο του έτους 2019, ως κύκλος εργασιών αναφοράς λαμβάνεται το άθροισμα του κύκλου εργασιών των μηνών Απριλίου και Μαΐου του έτους 2019, πολλαπλασιαζόμενο επί ένα κόμμα πέντε (1,5),</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τον μήνα Απρίλιο του έτους 2019 και έχει θετικό κύκλο εργασιών τον μήνα Μάιο του έτους 2019, ως κύκλος εργασιών αναφοράς λαμβάνεται ο κύκλος εργασιών Μαΐου του έτους 2019, πολλαπλασιαζόμενος επί τρία (3),</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τον μήνα Μάιο του έτους 2019, ως κύκλος εργασιών αναφοράς λαμβάνεται ο συνολικός κύκλος εργασιών του έτους 2019, διαιρεμένος με τέσσερα (ώστε να προκύψει σε τριμηνιαία βάση),</w:t>
      </w:r>
    </w:p>
    <w:p>
      <w:pPr>
        <w:pStyle w:val="StructureList1"/>
        <w:spacing w:before="120" w:after="0"/>
        <w:rPr>
          <w:lang w:val="el" w:eastAsia="el"/>
        </w:rPr>
      </w:pPr>
      <w:r>
        <w:rPr>
          <w:lang w:val="el" w:eastAsia="el"/>
        </w:rPr>
        <w:t>εε)</w:t>
      </w:r>
      <w:r>
        <w:rPr>
          <w:lang w:val="en" w:eastAsia="en"/>
        </w:rPr>
        <w:tab/>
      </w:r>
      <w:r>
        <w:rPr>
          <w:lang w:val="el" w:eastAsia="el"/>
        </w:rPr>
        <w:t>σε περίπτωση που η επιχείρηση δεν έχει θετικό κύκλο εργασιών ολόκληρο το έτος 2019 και έχει θετικό κύκλο εργασιών τον μήνα Φεβρουάριο του έτους 2020, ως κύκλος εργασιών αναφοράς λαμβάνεται ο κύκλος εργασιών Φεβρουαρίου του έτους 2020, πολλαπλασιαζόμενος επί τρία (3),</w:t>
      </w:r>
    </w:p>
    <w:p>
      <w:pPr>
        <w:pStyle w:val="StructureList1"/>
        <w:spacing w:before="120" w:after="0"/>
        <w:rPr>
          <w:lang w:val="el" w:eastAsia="el"/>
        </w:rPr>
      </w:pPr>
      <w:r>
        <w:rPr>
          <w:lang w:val="el" w:eastAsia="el"/>
        </w:rPr>
        <w:t>στστ)</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 (0).</w:t>
      </w:r>
    </w:p>
    <w:p>
      <w:pPr>
        <w:spacing w:before="240" w:after="240"/>
        <w:rPr>
          <w:lang w:val="el" w:eastAsia="el"/>
        </w:rPr>
      </w:pPr>
      <w:r>
        <w:rPr>
          <w:lang w:val="el" w:eastAsia="el"/>
        </w:rPr>
        <w:t>Σε περίπτωση που η επιχείρηση εντός του 2019 έκανε αλλαγή στο τύπο βιβλίων που τηρεί (από απλογραφικά σε διπλογραφικά ή το αντίστροφο), υπολογίζεται ο κύκλος εργασιών αναφοράς και με τους δύο τρόπους που αναφέρονται στις περιπτώσεις (α) και (β) και ως κύκλος εργασιών αναφοράς λαμβάνεται ο μεγαλύτερος εκ των δύο.</w:t>
      </w:r>
    </w:p>
    <w:p>
      <w:pPr>
        <w:pStyle w:val="MainText"/>
        <w:spacing w:before="120" w:after="0"/>
        <w:rPr>
          <w:lang w:val="el" w:eastAsia="el"/>
        </w:rPr>
      </w:pPr>
      <w:r>
        <w:rPr>
          <w:b/>
          <w:bCs/>
          <w:lang w:val="el" w:eastAsia="el"/>
        </w:rPr>
        <w:t>11.</w:t>
      </w:r>
      <w:r>
        <w:rPr>
          <w:lang w:val="el" w:eastAsia="el"/>
        </w:rPr>
        <w:t xml:space="preserve"> Ακαθάριστα έσοδα αναφοράς:</w:t>
      </w:r>
    </w:p>
    <w:p>
      <w:pPr>
        <w:spacing w:before="240" w:after="240"/>
        <w:rPr>
          <w:lang w:val="el" w:eastAsia="el"/>
        </w:rPr>
      </w:pPr>
      <w:r>
        <w:rPr>
          <w:lang w:val="el" w:eastAsia="el"/>
        </w:rPr>
        <w:t>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θετικά ακαθάριστα έσοδα το έτος 2019 ως τα ακαθάριστα έσοδα του 2019, διαιρεμένα με τέσσερα (ώστε να προκύψει σε τριμηνιαία βάση),</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θετικά ακαθάριστα έσοδα το έτος 2019 και έχει θετικά ακαθάριστα έσοδα τον μήνα Φεβρουάριο του έτους 2020, όπως αυτά έχουν δηλωθεί στην ειδική πλατφόρμα «myBusinessSupport», ως τα ακαθάριστα έσοδα του μηνός Φεβρουαρίου του έτους 2020, πολλαπλασιαζόμενα με τρία (3),</w:t>
      </w:r>
    </w:p>
    <w:p>
      <w:pPr>
        <w:pStyle w:val="StructureList1"/>
        <w:spacing w:before="120" w:after="0"/>
        <w:rPr>
          <w:lang w:val="el" w:eastAsia="el"/>
        </w:rPr>
      </w:pPr>
      <w:r>
        <w:rPr>
          <w:lang w:val="el" w:eastAsia="el"/>
        </w:rPr>
        <w:t>γ)</w:t>
      </w:r>
      <w:r>
        <w:rPr>
          <w:lang w:val="en" w:eastAsia="en"/>
        </w:rPr>
        <w:tab/>
      </w:r>
      <w:r>
        <w:rPr>
          <w:lang w:val="el" w:eastAsia="el"/>
        </w:rPr>
        <w:t>σε περίπτωση μη θετικών εσόδων κατά το έτος 2019 και τον μήνα Φεβρουάριο του 2020,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δηλώθηκαν από τις επιχειρήσεις στις αιτήσεις εκδήλωσης ενδιαφέροντος κατ' εφαρμογή της υπ' αρ. ΓΔΟΥ131/13.6.2020 (Β' 2276) κοινής απόφασης των Υπουργών Οικονομικών και Ανάπτυξης και Επενδύσεων. Εφόσον για τα οικονομικά δεδομένα που δηλώθηκαν στην αίτηση εκδήλωσης ενδιαφέροντος, η επιχείρηση έχει υποβάλει τις οικείες φορολογικές δηλώσεις μέχρι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έναρξη ισχύος της παρούσας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οι ιδιωτικές επιχειρήσεις κάθε νομικής μορφής, συμπεριλαμβανομένων των ατομικών,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ατομικές επιχειρήσεις που δεν απασχολούσαν κανένα εργαζόμενο με σχέση εξαρτημένης εργασίας κατά 1η Ιουνίου 2020, οι οποίες δεν διαθέτουν φορολογική ταμειακή μηχανή,</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Ιουνίου 2020,</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είναι σε αδράνεια από τον Απρίλιο του 2019 και μετά,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ΦΠΑ καθ' όλη την περίοδο αυτή, β) οι Δημοτικές Επιχειρήσεις Ύδρευσης και Αποχέτευσης (ΔΕΥΑ), οι οποίες πληρούν σωρευτικά τα κριτήρια της επόμενης παραγράφου, καθώς και την προϋπόθεση της παρ.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υπ' αρ. ΓΔΟΥ131/13.6.2020 (Β' 2276) κοινή απόφαση των Υπουργών Οικονομικών και Ανάπτυξης και Επενδύσεων, όπως ισχύει.</w:t>
      </w:r>
    </w:p>
    <w:p>
      <w:pPr>
        <w:spacing w:before="240" w:after="240"/>
        <w:rPr>
          <w:lang w:val="el" w:eastAsia="el"/>
        </w:rPr>
      </w:pPr>
      <w:r>
        <w:rPr>
          <w:lang w:val="el" w:eastAsia="el"/>
        </w:rPr>
        <w:t>Κατ' εξαίρεση, δύνανται να υποβάλουν αίτηση, σύμφωνα με το άρθρο 6, και οι επιχειρήσεις της παρ. 1 που δήλωσαν έως τις 26.6.2020 στοιχεία εσόδων στην ηλεκτρονική εφαρμογή "Τα Έσοδά μου" που λειτουργεί για τους σκοπούς της επιστρεπτέας προκαταβολής, στην πλατφόρμα "myBusinessSupport" της Α.Α.Δ.Ε., οι οποίες δεν έχουν υποβάλει έως την ως άνω ημερομηνία τη δήλωση εκδήλωσης ενδιαφέροντος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έναρξη ισχύος της παρούσας απόφασης, έχουν υποβάλει δήλωση φορολογίας εισοδήματος για το φορολογικό έτος 2018,</w:t>
      </w:r>
    </w:p>
    <w:p>
      <w:pPr>
        <w:pStyle w:val="StructureList1"/>
        <w:spacing w:before="120" w:after="0"/>
        <w:rPr>
          <w:lang w:val="el" w:eastAsia="el"/>
        </w:rPr>
      </w:pPr>
      <w:r>
        <w:rPr>
          <w:lang w:val="el" w:eastAsia="el"/>
        </w:rPr>
        <w:t>ββ)</w:t>
      </w:r>
      <w:r>
        <w:rPr>
          <w:lang w:val="en" w:eastAsia="en"/>
        </w:rPr>
        <w:tab/>
      </w:r>
      <w:r>
        <w:rPr>
          <w:lang w:val="el" w:eastAsia="el"/>
        </w:rPr>
        <w:t>μέχρι και την έναρξη ισχύος της παρούσας απόφασης, έχουν υποβάλει όλες τις δηλώσεις ΦΠΑ για την περίοδο από 1η Ιανουαρίου 2019 μέχρι 31η Μαρτίου 2020.</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Απριλίου 2019 μέχρι και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έναρξη ισχύος της παρούσας, η χρήση του ΑΦΜ της επιχείρησης για τη διενέργεια ενδοκοινοτικών συναλλαγών σύμφωνα με την υπ'αρ. ΓΓΔΕ ΠΟΛ.1200/2015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το άθροισμα του κύκλου εργασιών μηνών Μαρτίου, Απριλίου και Μαΐου 2020, όπως αυτός έχει δηλωθεί στην ειδική πλατφόρμα «myBusinessSupport», παρουσιάζει μείωση κατά 10,00% τουλάχιστον σε σχέση με τον κύκλο εργασιών αναφοράς και επιπλέον ο κύκλος εργασιών αναφοράς είναι μεγαλύτερος από πεντακόσια (500) ευρώ,</w:t>
      </w:r>
    </w:p>
    <w:p>
      <w:pPr>
        <w:pStyle w:val="StructureList1"/>
        <w:spacing w:before="120" w:after="0"/>
        <w:rPr>
          <w:lang w:val="el" w:eastAsia="el"/>
        </w:rPr>
      </w:pPr>
      <w:r>
        <w:rPr>
          <w:lang w:val="el" w:eastAsia="el"/>
        </w:rPr>
        <w:t>ββ)</w:t>
      </w:r>
      <w:r>
        <w:rPr>
          <w:lang w:val="en" w:eastAsia="en"/>
        </w:rPr>
        <w:tab/>
      </w:r>
      <w:r>
        <w:rPr>
          <w:lang w:val="el" w:eastAsia="el"/>
        </w:rPr>
        <w:t>για τις επιχειρήσεις που δεν είναι υποκείμενες σε ΦΠΑ ή είναι υποκείμενες και απαλλασσόμενες το άθροισμα των ακαθάριστων εσόδων μηνών Μαρτίου, Απριλίου και Μαΐου 2020, όπως αυτά έχουν δηλωθεί στην ειδική πλατφόρμα «myBusinessSupport», παρουσιάζει μείωση κατά 10,00% τουλάχιστον, σε σχέση με τα ακαθάριστα έσοδα αναφοράς και επιπλέον τα ακαθάριστα έσοδα αναφοράς είναι μεγαλύτερα από πεντακόσια (500) ευρώ.</w:t>
      </w:r>
    </w:p>
    <w:p>
      <w:pPr>
        <w:spacing w:before="240" w:after="240"/>
        <w:rPr>
          <w:lang w:val="el" w:eastAsia="el"/>
        </w:rPr>
      </w:pPr>
      <w:r>
        <w:rPr>
          <w:lang w:val="el" w:eastAsia="el"/>
        </w:rPr>
        <w:t>Σε όλες 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 137).</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Κανονισμού 2014/651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2013/1407,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w:t>
      </w:r>
    </w:p>
    <w:p>
      <w:pPr>
        <w:spacing w:before="240" w:after="240"/>
        <w:rPr>
          <w:lang w:val="el" w:eastAsia="el"/>
        </w:rPr>
      </w:pPr>
      <w:r>
        <w:rPr>
          <w:lang w:val="el" w:eastAsia="el"/>
        </w:rPr>
        <w:t>Ενίσχυση = [(Κύκλος εργασιών αναφοράς - Άθροισμα κύκλου εργασιών μηνών Μαρτίου, Απριλίου και Μαΐου 2020) χ ποσοστιαία διαφορά εκροών εισροών] - [αριθμός εργαζομένων σε αναστολή χ 800] - ποσό που έλαβε η επιχείρηση δυνάμει της υπ' αρ. ΓΔΟΥ 94/2.5.2020 (Β' 1645)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μηνών Μαρτίου, Απριλίου και Μαΐου 2020 και ο κύκλος εργασιών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lang w:val="el" w:eastAsia="el"/>
        </w:rPr>
        <w:t>Ενίσχυση = [(Ακαθάριστα έσοδα αναφοράς - Ακαθάριστα έσοδα μηνών Μαρτίου, Απριλίου και Μαΐου 2020) χ ποσοστιαία διαφορά εσόδων εξόδων] - [αριθμός εργαζομένων σε αναστολή χ 800] - ποσό που έλαβε η επιχείρηση δυνάμει της υπ' αρ. ΓΔΟΥ 94/2.5.2020 (Β' 1645)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μηνών Μαρτίου, Απριλίου και Μαΐου 2020 και τα ακαθάριστα έσοδα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spacing w:before="240" w:after="240"/>
        <w:rPr>
          <w:lang w:val="el" w:eastAsia="el"/>
        </w:rPr>
      </w:pPr>
      <w:r>
        <w:rPr>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w:t>
      </w:r>
      <w:r>
        <w:rPr>
          <w:b/>
          <w:bCs/>
          <w:lang w:val="el" w:eastAsia="el"/>
        </w:rPr>
        <w:t>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b/>
          <w:bCs/>
          <w:lang w:val="el" w:eastAsia="el"/>
        </w:rPr>
        <w:t>α)</w:t>
      </w:r>
      <w:r>
        <w:rPr>
          <w:b/>
          <w:bCs/>
          <w:lang w:val="en" w:eastAsia="en"/>
        </w:rPr>
        <w:tab/>
      </w:r>
      <w:r>
        <w:rPr>
          <w:b/>
          <w:bCs/>
          <w:lang w:val="el" w:eastAsia="el"/>
        </w:rPr>
        <w:t>δύο χιλιάδες (2.000) ευρώ για επιχειρήσεις δικαιούχους που δεν απασχολούν εργαζόμενους με σχέση εξαρτημένης εργασίας την 1η Ιουνίου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τέσσερις χιλιάδες (4.000) ευρώ για επιχειρήσεις δικαιούχους που απασχολούν έναν (1) έως πέντε (5) εργαζόμενους με σχέση εξαρτημένης εργασίας την 1η Ιουνίου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οκτώ χιλιάδες (8.000) ευρώ για επιχειρήσεις δικαιούχους που απασχολούν έξι (6) έως είκοσι (20) εργαζόμενους με σχέση εξαρτημένης εργασίας την 1η Ιουνίου 2020,</w:t>
      </w:r>
    </w:p>
    <w:p>
      <w:pPr>
        <w:pStyle w:val="StructureList1"/>
        <w:spacing w:before="120" w:after="0"/>
        <w:rPr>
          <w:lang w:val="el" w:eastAsia="el"/>
        </w:rPr>
      </w:pPr>
      <w:r>
        <w:rPr>
          <w:b/>
          <w:bCs/>
          <w:lang w:val="el" w:eastAsia="el"/>
        </w:rPr>
        <w:t>δ)</w:t>
      </w:r>
      <w:r>
        <w:rPr>
          <w:b/>
          <w:bCs/>
          <w:lang w:val="en" w:eastAsia="en"/>
        </w:rPr>
        <w:tab/>
      </w:r>
      <w:r>
        <w:rPr>
          <w:b/>
          <w:bCs/>
          <w:lang w:val="el" w:eastAsia="el"/>
        </w:rPr>
        <w:t>δεκαπέντε χιλιάδες (15.000) ευρώ για επιχειρήσεις δικαιούχους που απασχολούν είκοσι έναν (21) έως πενήντα (50) εργαζόμενους με σχέση εξαρτημένης εργασίας την 1η Ιουνίου 2020,</w:t>
      </w:r>
    </w:p>
    <w:p>
      <w:pPr>
        <w:pStyle w:val="StructureList1"/>
        <w:spacing w:before="120" w:after="0"/>
        <w:rPr>
          <w:lang w:val="el" w:eastAsia="el"/>
        </w:rPr>
      </w:pPr>
      <w:r>
        <w:rPr>
          <w:b/>
          <w:bCs/>
          <w:lang w:val="el" w:eastAsia="el"/>
        </w:rPr>
        <w:t>ε)</w:t>
      </w:r>
      <w:r>
        <w:rPr>
          <w:b/>
          <w:bCs/>
          <w:lang w:val="en" w:eastAsia="en"/>
        </w:rPr>
        <w:tab/>
      </w:r>
      <w:r>
        <w:rPr>
          <w:b/>
          <w:bCs/>
          <w:lang w:val="el" w:eastAsia="el"/>
        </w:rPr>
        <w:t>τριάντα χιλιάδες (30.000) ευρώ για επιχειρήσεις δικαιούχους που απασχολούν άνω των πενήντα (50) εργαζομένων με σχέση εξαρτημένης εργασίας την 1η Ιουνίου 2020.</w:t>
      </w:r>
    </w:p>
    <w:p>
      <w:pPr>
        <w:spacing w:before="240" w:after="240"/>
        <w:rPr>
          <w:lang w:val="el" w:eastAsia="el"/>
        </w:rPr>
      </w:pPr>
      <w:r>
        <w:rPr>
          <w:b/>
          <w:bCs/>
          <w:lang w:val="el" w:eastAsia="el"/>
        </w:rPr>
        <w:t>Ειδικά για τις επιχειρήσεις που έλαβαν ενίσχυση κατά τον πρώτο κύκλο της επιστρεπτέας προκαταβολής, δυνάμει της υπ' αρ. ΓΔΟΥ 94/2020 (Β' 1645) κοινής απόφασης των Υπουργών Οικονομικών και Ανάπτυξης και Επενδύσεων, όπως ισχύει, η ενίσχυση που προκύπτει από την παρ. 1 δεν μπορεί να είναι κατώτερη των 2.000 ευρώ, ανεξαρτήτως αριθμού εργαζομένων.</w:t>
      </w:r>
    </w:p>
    <w:p>
      <w:pPr>
        <w:pStyle w:val="MainText"/>
        <w:spacing w:before="120" w:after="0"/>
        <w:rPr>
          <w:lang w:val="el" w:eastAsia="el"/>
        </w:rPr>
      </w:pPr>
      <w:r>
        <w:rPr>
          <w:b/>
          <w:bCs/>
          <w:lang w:val="el" w:eastAsia="el"/>
        </w:rPr>
        <w:t>3.</w:t>
      </w:r>
      <w:r>
        <w:rPr>
          <w:b/>
          <w:bCs/>
          <w:lang w:val="el" w:eastAsia="el"/>
        </w:rPr>
        <w:t xml:space="preserve"> Επιπλέον, η ενίσχυση που προκύπτει από τις παρ. 1 και 2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λαμβάνουν ενίσχυση δυνάμει του Προσωρινού Πλαισίου, το ανώτατο ύψος ενίσχυσης ανά επιχείρηση δεν δύναται να υπερβαίνει το ποσό των τριακοσίων πενήντα χιλιάδων (350.000) ευρώ για τις επιχειρήσεις που απασχολούν έως διακόσια πενήντα (250) άτομα και το ποσό των πεντακοσίων χιλιάδων (500.000) ευρώ για τις επιχειρήσεις που απασχολούν άνω των διακοσίων πενήντα (250) ατόμων κατά την 1η Ιουνίου 2020. Για τις επιχειρήσεις που δραστηριοποιούνται στους τομείς της αλιείας και υδατοκαλλιέργειας, το ανώτατο ύψος ενίσχυσης ανά επιχείρηση δεν δύναται να υπερβαίνει το ποσό των εκατόν είκοσι χιλιάδων (120.000) ευρώ και για τις επιχειρήσεις που δραστηριοποιούνται στους τομείς της πρωτογενούς γεωργικής παραγωγής το ποσό των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επιχειρήσεις που λαμβάνουν ενίσχυση δυνάμει του Κανονισμού de minimis, το ανώτατο ύψος ενίσχυσης δεν δύναται να υπερβαίνει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ήτοι στον ΚΑΔ 49.41 οδικές μεταφορές εμπορευμάτων, το ποσό των εκατό χιλιάδων (100.000)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μια επιχείρηση δραστηριοποιείται σε περισσότερους από έναν τομείς για τους οποίους ισχύουν διαφορετικά ανώτατα όρια ενίσχυσης κατά τα ανωτέρω,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2018 ή με βάση τον κύριο ΚΑΔ, όπως ισχύει στις 20 Μαρτίου 2020, εφόσον η επιχείρηση έχει συσταθεί μετά την 1η Ιανουαρίου 2019. Επιπλέον, η επιχείρηση διασφαλίζει, με κατάλληλα μέσα, όπως ο λογιστικός διαχωρισμός των δραστηριοτήτων ή η διάκριση του κόστους, ότι για καθεμία από τις δραστηριότητες αυτές τηρείται το σχετικό ανώτατο όριο.</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b/>
          <w:bCs/>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οκτακοσίων χιλιάδων (800.000) ευρώ. Αντιστοίχως, το συνολικό ποσό ενισχύσεων δεν δύναται να υπερβαίνει το ποσό των εκατόν είκοσι χιλιάδων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b/>
          <w:bCs/>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2018-2020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b/>
          <w:bCs/>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b/>
          <w:bCs/>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b/>
          <w:bCs/>
          <w:lang w:val="el" w:eastAsia="el"/>
        </w:rPr>
        <w:t xml:space="preserve"> Για τον ανωτέρω σκοπό η ΑΑΔΕ θέτει στη διάθεση της αρμόδιας υπηρεσίας του άρθρου 13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b/>
          <w:bCs/>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(https://www.aade.gr/mybusinesssupport).</w:t>
      </w:r>
    </w:p>
    <w:p>
      <w:pPr>
        <w:pStyle w:val="MainText"/>
        <w:spacing w:before="120" w:after="0"/>
        <w:rPr>
          <w:lang w:val="el" w:eastAsia="el"/>
        </w:rPr>
      </w:pPr>
      <w:r>
        <w:rPr>
          <w:b/>
          <w:bCs/>
          <w:lang w:val="el" w:eastAsia="el"/>
        </w:rPr>
        <w:t>2.</w:t>
      </w:r>
      <w:r>
        <w:rPr>
          <w:b/>
          <w:bCs/>
          <w:lang w:val="el" w:eastAsia="el"/>
        </w:rPr>
        <w:t xml:space="preserve"> Οι αιτήσεις υποβάλλονται έως την 22η Ιουλίου 2020.</w:t>
      </w:r>
    </w:p>
    <w:p>
      <w:pPr>
        <w:pStyle w:val="MainText"/>
        <w:spacing w:before="120" w:after="0"/>
        <w:rPr>
          <w:lang w:val="el" w:eastAsia="el"/>
        </w:rPr>
      </w:pPr>
      <w:r>
        <w:rPr>
          <w:b/>
          <w:bCs/>
          <w:lang w:val="el" w:eastAsia="el"/>
        </w:rPr>
        <w:t>3.</w:t>
      </w:r>
      <w:r>
        <w:rPr>
          <w:b/>
          <w:bCs/>
          <w:lang w:val="el" w:eastAsia="el"/>
        </w:rPr>
        <w:t xml:space="preserve"> 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4. </w:t>
      </w:r>
      <w:r>
        <w:rPr>
          <w:b/>
          <w:bCs/>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b/>
          <w:bCs/>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w:t>
      </w:r>
    </w:p>
    <w:p>
      <w:pPr>
        <w:pStyle w:val="MainText"/>
        <w:spacing w:before="120" w:after="0"/>
        <w:rPr>
          <w:lang w:val="el" w:eastAsia="el"/>
        </w:rPr>
      </w:pPr>
      <w:r>
        <w:rPr>
          <w:b/>
          <w:bCs/>
          <w:lang w:val="el" w:eastAsia="el"/>
        </w:rPr>
        <w:t>6.</w:t>
      </w:r>
      <w:r>
        <w:rPr>
          <w:b/>
          <w:bCs/>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b/>
          <w:bCs/>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αρμόδια υπηρεσία της παρ. 3 του άρθρου 13 απαντά στο αίτημα επανεξέτασης, βάσει των στοιχείων και πληροφοριών που αιτείται και λαμβάνει από την ΑΑΔΕ, σύμφωνα με το παρόν άρθρο και το άρθρο 13 της παρούσας απόφασης.</w:t>
      </w:r>
    </w:p>
    <w:p>
      <w:pPr>
        <w:pStyle w:val="MainText"/>
        <w:spacing w:before="120" w:after="0"/>
        <w:rPr>
          <w:lang w:val="el" w:eastAsia="el"/>
        </w:rPr>
      </w:pPr>
      <w:r>
        <w:rPr>
          <w:b/>
          <w:bCs/>
          <w:lang w:val="el" w:eastAsia="el"/>
        </w:rPr>
        <w:t>2.</w:t>
      </w:r>
      <w:r>
        <w:rPr>
          <w:b/>
          <w:bCs/>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b/>
          <w:bCs/>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κατάσταση δικαιούχων ατομικών επιχειρήσεων και λοιπών ΜΜΕ των οποίων η ενίσχυση καλύπτεται από τον Προϋπολογισμό Δημοσίων Επενδύσεων (ΠΔΕ)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των ατομικών επιχειρήσεων και λοιπών ΜΜΕ των οποίων η ενίσχυση καλύπτεται από τον ΠΔΕ σε έντυπη και ηλεκτρονική μορφή που περιλαμβάνει το συνολικό προς πληρωμή ποσό, ολογράφως και αριθμητικώς.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Αναλυτική κατάσταση δικαιούχων λοιπών επιχειρήσεων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δ)</w:t>
      </w:r>
      <w:r>
        <w:rPr>
          <w:b/>
          <w:bCs/>
          <w:lang w:val="en" w:eastAsia="en"/>
        </w:rPr>
        <w:tab/>
      </w:r>
      <w:r>
        <w:rPr>
          <w:b/>
          <w:bCs/>
          <w:lang w:val="el" w:eastAsia="el"/>
        </w:rPr>
        <w:t>Συγκεντρωτική κατάσταση των λοιπών επιχειρήσεων σε έντυπη και ηλεκτρονική μορφή που περιλαμβάνει το συνολικό προς πληρωμή ποσό, ολογράφως και αριθμητικώς.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 από το ΠΔΕ</w:t>
      </w:r>
    </w:p>
    <w:p>
      <w:pPr>
        <w:pStyle w:val="MainText"/>
        <w:spacing w:before="120" w:after="0"/>
        <w:rPr>
          <w:lang w:val="el" w:eastAsia="el"/>
        </w:rPr>
      </w:pPr>
      <w:r>
        <w:rPr>
          <w:b/>
          <w:bCs/>
          <w:lang w:val="el" w:eastAsia="el"/>
        </w:rPr>
        <w:t>1.</w:t>
      </w:r>
      <w:r>
        <w:rPr>
          <w:b/>
          <w:bCs/>
          <w:lang w:val="el" w:eastAsia="el"/>
        </w:rPr>
        <w:t xml:space="preserve"> Για ενισχύσεις προς ατομικές επιχειρήσεις και λοιπές ΜΜΕ, οι οποίες θα βαρύνουν τον Προϋπολογισμό Δημοσίων Επενδύσεων, η συγκεντρωτική κατάσταση της περ. β της παρ. 3 του άρθρου 7 αποστέλλεται στη Γενική Διεύθυνση Οικονομικών Υπηρεσιών (ΓΔΟΥ) του Υπουργείου Οικονομικών, η οποία βάσει αυτής, μεταφέρει (άνευ υπoλόγου) το συνολικό ποσό από το λογαριασμό του έργου που είναι ενταγμένο στη ΣΑ051/2, στον ενδιάμεσο λογαριασμό με κωδικό IBAN GR4001000230000000004810500 που τηρείται στην Τράπεζα της Ελλάδος με ηλεκτρονική εντολή μεταφοράς (eps).</w:t>
      </w:r>
    </w:p>
    <w:p>
      <w:pPr>
        <w:spacing w:before="240" w:after="240"/>
        <w:rPr>
          <w:lang w:val="el" w:eastAsia="el"/>
        </w:rPr>
      </w:pPr>
      <w:r>
        <w:rPr>
          <w:b/>
          <w:bCs/>
          <w:lang w:val="el" w:eastAsia="el"/>
        </w:rPr>
        <w:t>Η αναλυτική κατάσταση της περ. α της παρ. 3 του άρθρου 7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b/>
          <w:bCs/>
          <w:lang w:val="el" w:eastAsia="el"/>
        </w:rPr>
        <w:t>Η ΔΙΑΣ μεταφέρει τα ποσά από τον ενδιάμεσο λογαριασμό 23/4810500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spacing w:before="240" w:after="240"/>
        <w:rPr>
          <w:lang w:val="el" w:eastAsia="el"/>
        </w:rPr>
      </w:pPr>
      <w:r>
        <w:rPr>
          <w:b/>
          <w:bCs/>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2.</w:t>
      </w:r>
      <w:r>
        <w:rPr>
          <w:b/>
          <w:bCs/>
          <w:lang w:val="el" w:eastAsia="el"/>
        </w:rPr>
        <w:t xml:space="preserve"> Τα ποσά που απέτυχαν να πληρωθούν επιστρέφουν στον λογαριασμό του Ελληνικού Δημοσίου με IBAN GR3001000230000000000002002 και λογιστικοποιούνται ως έσοδα του ΠΔΕ.</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b/>
          <w:bCs/>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απόφαση του Υπουργού Ανάπτυξης και Επενδύσεων για ένταξη και έγκριση πιστώσεων του έργου στο ΠΔΕ 2020 (ΣΑΕ),</w:t>
      </w:r>
    </w:p>
    <w:p>
      <w:pPr>
        <w:pStyle w:val="StructureList1"/>
        <w:spacing w:before="120" w:after="0"/>
        <w:rPr>
          <w:lang w:val="el" w:eastAsia="el"/>
        </w:rPr>
      </w:pPr>
      <w:r>
        <w:rPr>
          <w:b/>
          <w:bCs/>
          <w:lang w:val="el" w:eastAsia="el"/>
        </w:rPr>
        <w:t>β)</w:t>
      </w:r>
      <w:r>
        <w:rPr>
          <w:b/>
          <w:bCs/>
          <w:lang w:val="en" w:eastAsia="en"/>
        </w:rPr>
        <w:tab/>
      </w:r>
      <w:r>
        <w:rPr>
          <w:b/>
          <w:bCs/>
          <w:lang w:val="el" w:eastAsia="el"/>
        </w:rPr>
        <w:t>η συγκεντρωτική κατάσταση της περ. β της παρ. 3 του άρθρου 7,</w:t>
      </w:r>
    </w:p>
    <w:p>
      <w:pPr>
        <w:pStyle w:val="StructureList1"/>
        <w:spacing w:before="120" w:after="0"/>
        <w:rPr>
          <w:lang w:val="el" w:eastAsia="el"/>
        </w:rPr>
      </w:pPr>
      <w:r>
        <w:rPr>
          <w:b/>
          <w:bCs/>
          <w:lang w:val="el" w:eastAsia="el"/>
        </w:rPr>
        <w:t>γ)</w:t>
      </w:r>
      <w:r>
        <w:rPr>
          <w:b/>
          <w:bCs/>
          <w:lang w:val="en" w:eastAsia="en"/>
        </w:rPr>
        <w:tab/>
      </w:r>
      <w:r>
        <w:rPr>
          <w:b/>
          <w:bCs/>
          <w:lang w:val="el" w:eastAsia="el"/>
        </w:rPr>
        <w:t>το αποδεικτικό της ηλεκτρονικής εντολής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Διαδικασία καταβολής της ενίσχυσης από τον τακτικό προϋπολογισμό</w:t>
      </w:r>
    </w:p>
    <w:p>
      <w:pPr>
        <w:pStyle w:val="MainText"/>
        <w:spacing w:before="120" w:after="0"/>
        <w:rPr>
          <w:lang w:val="el" w:eastAsia="el"/>
        </w:rPr>
      </w:pPr>
      <w:r>
        <w:rPr>
          <w:b/>
          <w:bCs/>
          <w:lang w:val="el" w:eastAsia="el"/>
        </w:rPr>
        <w:t>1.</w:t>
      </w:r>
      <w:r>
        <w:rPr>
          <w:b/>
          <w:bCs/>
          <w:lang w:val="el" w:eastAsia="el"/>
        </w:rPr>
        <w:t xml:space="preserve"> Για ενισχύσεις προς λοιπές επιχειρήσεις, οι οποίες θα βαρύνουν τον Τακτικό Προϋπολογισμό, η συγκεντρωτική κατάσταση της περ. δ της παρ. 3 του άρθρου 7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23/4810500 με κωδικό IBAN GR4001000230000000004810500 που τηρείται στην Τράπεζα της Ελλάδος.</w:t>
      </w:r>
    </w:p>
    <w:p>
      <w:pPr>
        <w:spacing w:before="240" w:after="240"/>
        <w:rPr>
          <w:lang w:val="el" w:eastAsia="el"/>
        </w:rPr>
      </w:pPr>
      <w:r>
        <w:rPr>
          <w:b/>
          <w:bCs/>
          <w:lang w:val="el" w:eastAsia="el"/>
        </w:rPr>
        <w:t>Η αναλυτική κατάσταση της περ. γ της παρ. 3 του άρθρου 7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b/>
          <w:bCs/>
          <w:lang w:val="el" w:eastAsia="el"/>
        </w:rPr>
        <w:t xml:space="preserve"> Τα ποσά που απέτυχαν να πληρωθούν επιστρέφουν στον λογαριασμό του Ελληνικού Δημοσίου με IBAN 200211 με IBAN GR7101000230000000000200211 και λογιστικοποιούνται ως έσοδα του Τακτικού Προϋπολογισμού.</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b/>
          <w:bCs/>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παρούσα απόφαση,</w:t>
      </w:r>
    </w:p>
    <w:p>
      <w:pPr>
        <w:pStyle w:val="StructureList1"/>
        <w:spacing w:before="120" w:after="0"/>
        <w:rPr>
          <w:lang w:val="el" w:eastAsia="el"/>
        </w:rPr>
      </w:pPr>
      <w:r>
        <w:rPr>
          <w:b/>
          <w:bCs/>
          <w:lang w:val="el" w:eastAsia="el"/>
        </w:rPr>
        <w:t>β)</w:t>
      </w:r>
      <w:r>
        <w:rPr>
          <w:b/>
          <w:bCs/>
          <w:lang w:val="en" w:eastAsia="en"/>
        </w:rPr>
        <w:tab/>
      </w:r>
      <w:r>
        <w:rPr>
          <w:b/>
          <w:bCs/>
          <w:lang w:val="el" w:eastAsia="el"/>
        </w:rPr>
        <w:t>η συγκεντρωτική κατάσταση της περ. δ της παρ. 3 του άρθρου 7,</w:t>
      </w:r>
    </w:p>
    <w:p>
      <w:pPr>
        <w:pStyle w:val="StructureList1"/>
        <w:spacing w:before="120" w:after="0"/>
        <w:rPr>
          <w:lang w:val="el" w:eastAsia="el"/>
        </w:rPr>
      </w:pPr>
      <w:r>
        <w:rPr>
          <w:b/>
          <w:bCs/>
          <w:lang w:val="el" w:eastAsia="el"/>
        </w:rPr>
        <w:t>γ)</w:t>
      </w:r>
      <w:r>
        <w:rPr>
          <w:b/>
          <w:bCs/>
          <w:lang w:val="en" w:eastAsia="en"/>
        </w:rPr>
        <w:tab/>
      </w:r>
      <w:r>
        <w:rPr>
          <w:b/>
          <w:bCs/>
          <w:lang w:val="el" w:eastAsia="el"/>
        </w:rPr>
        <w:t>αντίγραφο της ειδικής εντολής προς την Τράπεζα της Ελλάδος και της αναγγελίας της Τράπεζας για τη χρέωση του λογαριασμού Νο 200.</w:t>
      </w:r>
    </w:p>
    <w:p>
      <w:pPr>
        <w:spacing w:before="240" w:after="240"/>
        <w:rPr>
          <w:lang w:val="el" w:eastAsia="el"/>
        </w:rPr>
      </w:pPr>
      <w:r>
        <w:rPr>
          <w:b/>
          <w:bCs/>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Διαδικασία και προϋποθέσεις επιστροφής της ενίσχυσης</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Το ποσό της ενίσχυσης δεν επιβαρύνεται με επιτόκιο.</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Για το χρονικό διάστημα έως και την 30ή Ιουνίου 2022 παρέχεται περίοδος χάριτος, κατά την οποία η δικαιούχος επιχείρηση δεν υποχρεούται να επιστρέψει οιοδήποτε τμήμα της ενίσχυσης.</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3.</w:t>
      </w:r>
      <w:r>
        <w:rPr>
          <w:b/>
          <w:bCs/>
          <w:lang w:val="el" w:eastAsia="el"/>
        </w:rPr>
        <w:t xml:space="preserve"> Μετά την παρέλευση της περιόδου χάριτος, το επιστρεπτέο ποσό της ληφθείσας ενίσχυσης, είναι πληρωτέο σε ενενήντα έξι (96) ισόποσες άτοκες μηνιαίες δόσεις, εκάστης εξ αυτών καταβλητέας την τελευταία εργάσιμη ημέρα του μήνα. Ως ημερομηνία καταβολής της πρώτης δόσης ορίζεται η τελευταία εργάσιμη ημέρα του επόμενου μήνα από τη λήξη της περιόδου χάριτος. Ως ελάχιστο ποσό δόσης ορίζεται το ένα (1) ευρώ και στην περίπτωση που το επιστρεπτέο ποσό είναι μικρότερο από ενενήντα έξι (96) ευρώ αυτό είναι πληρωτέο σε όσες δόσεις προκύπτουν με βάση το ελάχιστο ποσό δόσης.</w:t>
      </w:r>
    </w:p>
    <w:p>
      <w:pPr>
        <w:spacing w:before="240" w:after="240"/>
        <w:rPr>
          <w:lang w:val="el" w:eastAsia="el"/>
        </w:rPr>
      </w:pPr>
      <w:r>
        <w:rPr>
          <w:b/>
          <w:bCs/>
          <w:lang w:val="el" w:eastAsia="el"/>
        </w:rPr>
        <w:t>Εναλλακτικά, με την επιφύλαξη των επόμενων εδαφίων της παρούσας παραγράφου, παρέχεται η δυνατότητα εφάπαξ καταβολής του επιστρεπτέου ποσού της ληφθείσας ενίσχυσης, έως και την 29η Ιουλίου 2022, με έκπτωση 15% επί του επιστρεπτέου ποσού της ληφθείσας ενίσχυσης. Το ποσό καταβάλλεται εντός της ανωτέρω προθεσμίας και η έκπτωση ισχύει ως την καταληκτική ημερομηνία αυτή.</w:t>
      </w:r>
    </w:p>
    <w:p>
      <w:pPr>
        <w:spacing w:before="240" w:after="240"/>
        <w:rPr>
          <w:lang w:val="el" w:eastAsia="el"/>
        </w:rPr>
      </w:pPr>
      <w:r>
        <w:rPr>
          <w:b/>
          <w:bCs/>
          <w:lang w:val="el" w:eastAsia="el"/>
        </w:rPr>
        <w:t>Σε περίπτωση που τα προς επιστροφή ποσά βεβαιώνονται μετά την 15η Ιουλίου 2022 και εφόσον αυτά βεβαιώνονται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και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μήνα που πραγματοποιείται η βεβαίωση, μαζί με την τρέχουσα δόση αυτού,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μετά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επόμενου μήνα από το μήνα που πραγματοποιείται η βεβαίωση,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p>
    <w:p>
      <w:pPr>
        <w:pStyle w:val="MainText"/>
        <w:spacing w:before="120" w:after="0"/>
        <w:rPr>
          <w:lang w:val="el" w:eastAsia="el"/>
        </w:rPr>
      </w:pPr>
      <w:r>
        <w:rPr>
          <w:b/>
          <w:bCs/>
          <w:lang w:val="el" w:eastAsia="el"/>
        </w:rPr>
        <w:t>4.</w:t>
      </w:r>
      <w:r>
        <w:rPr>
          <w:b/>
          <w:bCs/>
          <w:lang w:val="el" w:eastAsia="el"/>
        </w:rPr>
        <w:t xml:space="preserve"> Παρέχεται δυνατότητα επιστροφής μέρους της ληφθείσας ενίσχυσης (επιστρεπτέο ποσό), ως εξής: α) 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γγ)</w:t>
      </w:r>
      <w:r>
        <w:rPr>
          <w:b/>
          <w:bCs/>
          <w:lang w:val="en" w:eastAsia="en"/>
        </w:rPr>
        <w:tab/>
      </w:r>
      <w:r>
        <w:rPr>
          <w:b/>
          <w:bCs/>
          <w:lang w:val="el" w:eastAsia="el"/>
        </w:rPr>
        <w:t>Επιστροφή ποσοστού 50% της ενίσχυσης, για όλες τις λοιπές επιχειρήσεις που δεν εμπίπτουν στις υποπερ. αα και ββ, εφόσον τηρήθηκε η υποχρέωση της παρ. 1 του άρθρου 11.</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11.</w:t>
      </w:r>
    </w:p>
    <w:p>
      <w:pPr>
        <w:spacing w:before="240" w:after="240"/>
        <w:rPr>
          <w:lang w:val="el" w:eastAsia="el"/>
        </w:rPr>
      </w:pPr>
      <w:r>
        <w:rPr>
          <w:b/>
          <w:bCs/>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b/>
          <w:bCs/>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b/>
          <w:bCs/>
          <w:lang w:val="el" w:eastAsia="el"/>
        </w:rPr>
        <w:t>Ειδικά για τις κάτωθι περιπτώσεις ισχύουν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pStyle w:val="StructureList1"/>
        <w:spacing w:before="120" w:after="0"/>
        <w:rPr>
          <w:lang w:val="el" w:eastAsia="el"/>
        </w:rPr>
      </w:pPr>
      <w:r>
        <w:rPr>
          <w:b/>
          <w:bCs/>
          <w:lang w:val="el" w:eastAsia="el"/>
        </w:rPr>
        <w:t>ii)</w:t>
      </w:r>
      <w:r>
        <w:rPr>
          <w:b/>
          <w:bCs/>
          <w:lang w:val="en" w:eastAsia="en"/>
        </w:rPr>
        <w:tab/>
      </w:r>
      <w:r>
        <w:rPr>
          <w:b/>
          <w:bCs/>
          <w:lang w:val="el" w:eastAsia="el"/>
        </w:rPr>
        <w:t>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pStyle w:val="StructureList1"/>
        <w:spacing w:before="120" w:after="0"/>
        <w:rPr>
          <w:lang w:val="el" w:eastAsia="el"/>
        </w:rPr>
      </w:pPr>
      <w:r>
        <w:rPr>
          <w:b/>
          <w:bCs/>
          <w:lang w:val="el" w:eastAsia="el"/>
        </w:rPr>
        <w:t>iii)</w:t>
      </w:r>
      <w:r>
        <w:rPr>
          <w:b/>
          <w:bCs/>
          <w:lang w:val="en" w:eastAsia="en"/>
        </w:rPr>
        <w:tab/>
      </w:r>
      <w:r>
        <w:rPr>
          <w:b/>
          <w:bCs/>
          <w:lang w:val="el" w:eastAsia="el"/>
        </w:rPr>
        <w:t>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pStyle w:val="StructureList1"/>
        <w:spacing w:before="120" w:after="0"/>
        <w:rPr>
          <w:lang w:val="el" w:eastAsia="el"/>
        </w:rPr>
      </w:pPr>
      <w:r>
        <w:rPr>
          <w:b/>
          <w:bCs/>
          <w:lang w:val="el" w:eastAsia="el"/>
        </w:rPr>
        <w:t>iv)</w:t>
      </w:r>
      <w:r>
        <w:rPr>
          <w:b/>
          <w:bCs/>
          <w:lang w:val="en" w:eastAsia="en"/>
        </w:rPr>
        <w:tab/>
      </w:r>
      <w:r>
        <w:rPr>
          <w:b/>
          <w:bCs/>
          <w:lang w:val="el" w:eastAsia="el"/>
        </w:rPr>
        <w:t>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pStyle w:val="StructureList1"/>
        <w:spacing w:before="120" w:after="0"/>
        <w:rPr>
          <w:lang w:val="el" w:eastAsia="el"/>
        </w:rPr>
      </w:pPr>
      <w:r>
        <w:rPr>
          <w:b/>
          <w:bCs/>
          <w:lang w:val="el" w:eastAsia="el"/>
        </w:rPr>
        <w:t>v)</w:t>
      </w:r>
      <w:r>
        <w:rPr>
          <w:b/>
          <w:bCs/>
          <w:lang w:val="en" w:eastAsia="en"/>
        </w:rPr>
        <w:tab/>
      </w:r>
      <w:r>
        <w:rPr>
          <w:b/>
          <w:bCs/>
          <w:lang w:val="el" w:eastAsia="el"/>
        </w:rPr>
        <w:t>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 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περιπτώσεων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5.</w:t>
      </w:r>
      <w:r>
        <w:rPr>
          <w:b/>
          <w:bCs/>
          <w:lang w:val="el" w:eastAsia="el"/>
        </w:rPr>
        <w:t xml:space="preserve"> Η Α.Α.Δ.Ε. υπολογίζει με βάση τα διαθέσιμα σε αυτή στοιχεία το επιστρεπτέο ποσό και αποστέλλει, στη Γενική Διεύθυνση Οικονομικών Υπηρεσιών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επιστρεπτέο ποσό, ολογράφως και αριθμητικώς, καθώς και διακριτή κατηγοριοποίηση ανά Α.Φ.Μ. για λήψη της ενίσχυσης από τον Τακτικό Προϋπολογισμό ή από το Π.Δ.Ε.</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νόμιμο τίτλο για την είσπραξη του επιστρεπτέου ποσού. Η Α.Α.Δ.Ε. καταχωρεί τα στοιχεία του νόμιμου τίτλου στα βιβλία εισπρακτέων εσόδων και εκδίδει τις σχετικές ταυτότητες οφειλής, κατά τις διατάξεις της παρ. 3 του άρθρου 2 του Κώδικα Είσπραξης Δημοσίων Εσόδων (Κ.Ε.Δ.Ε).</w:t>
      </w:r>
    </w:p>
    <w:p>
      <w:pPr>
        <w:spacing w:before="240" w:after="240"/>
        <w:rPr>
          <w:lang w:val="el" w:eastAsia="el"/>
        </w:rPr>
      </w:pPr>
      <w:r>
        <w:rPr>
          <w:b/>
          <w:bCs/>
          <w:lang w:val="el" w:eastAsia="el"/>
        </w:rPr>
        <w:t>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 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επιστρεπτέο ποσό της ενίσχυσης εμφανίζεται στο πληροφοριακό σύστημα της Α.Α.Δ.Ε. myAADE.</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6.</w:t>
      </w:r>
      <w:r>
        <w:rPr>
          <w:b/>
          <w:bCs/>
          <w:lang w:val="el" w:eastAsia="el"/>
        </w:rPr>
        <w:t xml:space="preserve"> Το ποσό της επιστροφής μετά την είσπραξή του εμφανίζεται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Ειδικά για τις περιπτώσεις επιχειρήσεων που έχουν λάβει ενίσχυση από το Π.Δ.Ε., το επιστρεπτέο ποσό της ενίσχυσης λογιστικοποιείται στα έσοδα του Π.Δ.Ε.</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7.</w:t>
      </w:r>
      <w:r>
        <w:rPr>
          <w:b/>
          <w:bCs/>
          <w:lang w:val="el" w:eastAsia="el"/>
        </w:rPr>
        <w:t xml:space="preserve"> Η καταβολή των οφειλόμενων ποσών από επιστρεπτέα προκαταβολή γίνεται σύμφωνα με τις διατάξεις της παρούσας απόφασης και δεν επιτρέπεται η υπαγωγή αυτών σε άλλη ρύθμιση αποπληρωμής οφειλών βάσει νόμου, δικαστικής απόφασης, συμφωνίας ή απόφασης διοικητικού οργάνου.</w:t>
      </w:r>
    </w:p>
    <w:p>
      <w:pPr>
        <w:spacing w:before="240" w:after="240"/>
        <w:rPr>
          <w:lang w:val="el" w:eastAsia="el"/>
        </w:rPr>
      </w:pPr>
      <w:r>
        <w:rPr>
          <w:b/>
          <w:bCs/>
          <w:lang w:val="el" w:eastAsia="el"/>
        </w:rPr>
        <w:t>Τα προς επιστροφή ποσά που βεβαιώνονται, επιβαρύνονται με τόκους εκπρόθεσμης καταβολής σύμφωνα με τις διατάξεις του Κ.Ε.Δ.Ε.</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8.</w:t>
      </w:r>
      <w:r>
        <w:rPr>
          <w:b/>
          <w:bCs/>
          <w:lang w:val="el" w:eastAsia="el"/>
        </w:rPr>
        <w:t xml:space="preserve"> Στην περίπτωση της εφάπαξ επιστροφής του ανωτέρω επιστρεπτέου ποσού μετά την καταβολή του και εφόσον αυτή πραγματοποιηθεί εμπρόθεσμα, το ποσό της έκπτωσης του 15% προσαυξάνει το μη επιστρεπτέο ποσό της ενίσχυσης το οποίο είναι αφορολόγητο, ενώ το ποσό της επιστροφής μειώνει το χορηγηθέν ποσό της ενίσχυσης και:</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η ενίσχυση έχει χορηγηθεί βάσει του Προσωρινού Πλαισίου, δεν συνυπολογίζεται εφεξής στο όριο σώρευσης για το Προσωρινό Πλαίσιο, της παρ. 1 του άρθρου 5 ή</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ενίσχυση έχει χορηγηθεί βάσει του Κανονισμού de minimis, δεν συνυπολογίζεται εφεξής για το σκοπό υπολογισμού του ορίου σώρευσης της παρ. 2 του άρθρου 5.</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9.</w:t>
      </w:r>
      <w:r>
        <w:rPr>
          <w:b/>
          <w:bCs/>
          <w:lang w:val="el" w:eastAsia="el"/>
        </w:rPr>
        <w:t xml:space="preserve"> Ειδικά για τις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Δ.Α.Ε.Φ.Κ.-Κ.Ε/13758/Α325/20.08.2021 (Β' 3905), Δ.Α.Ε.Φ.Κ.-Κ.Ε/13975/Α325/20.08.2021 (Β' 3898), Δ.Α.Ε.Φ.Κ.-Κ.Ε/13665/Α325/17.08.2021 (Β' 3863) και Δ.Α.Ε.Φ.Κ.-Κ.Ε/11203/Α325/09.07.2021 κοινές αποφάσεις των Υπουργών Οικονομικών, Ανάπτυξης και Επενδύσεων, Εσωτερικών, Υποδομών και Μεταφορών, το επιστρεπτέο ποσό, δεν επιστρέφεται. Για τον σκοπό αυτό αποστέλλονται στην Α.Α.Δ.Ε. και στη Γ.Δ.Ο.Υ. του Υπουργείου Οικονομικών από την οικεία περιφέρεια ή σε περίπτωση αγροτικών εκμεταλλεύσεων από τον Οργανισμό Ελληνικών Γεωργικών Ασφαλίσεων (Ε.Λ.Γ.Α.), καταστάσεις με τα στοιχεία (Α.Φ.Μ., Επωνυμία, Έδρα - υποκατάστημα) των επιχειρήσεων ή των αγροτικών εκμεταλλεύσεων με την οποία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για τις επιχειρήσεις που έχουν έδρα ή υποκατάστημα στους Δήμους Μαντουδίου - Λίμνης - Αγίας Άννας και Ιστιαίας - Αιδηψού της Περιφερειακής Ενότητας Εύβοιας της Περιφέρειας Στερεάς Ελλάδας, οι οποίοι επλήγησαν από την πυρκαγιά της 3ης Αυγούστου 2021, το επιστρεπτέο ποσό, δεν επιστρέφεται.</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10.</w:t>
      </w:r>
      <w:r>
        <w:rPr>
          <w:b/>
          <w:bCs/>
          <w:lang w:val="el" w:eastAsia="el"/>
        </w:rPr>
        <w:t xml:space="preserve"> Η Γ.Δ.Ο.Υ. του Υπουργείου Οικονομικών, σε συνεργασία με την Α.Α.Δ.Ε. και το Υπουργείο Ανάπτυξης και Επενδύσεων μεριμνούν για την ενημέρωση του Πληροφοριακού Συστήματος Σώρευσης Κρατικών Ενισχύσεων.</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b/>
          <w:bCs/>
          <w:lang w:val="el" w:eastAsia="el"/>
        </w:rPr>
        <w:t xml:space="preserve"> Η επιχείρηση υποχρεούται να διατηρήσει έως την 31η Οκτωβρίου 2020 τον αριθμό των εργαζομένων που απασχολούσε κατά την 1η Ιουνίου 2020, βάσει των στοιχείων του συστήματος ΕΡΓΑΝΗ.</w:t>
      </w:r>
    </w:p>
    <w:p>
      <w:pPr>
        <w:spacing w:before="240" w:after="240"/>
        <w:rPr>
          <w:lang w:val="el" w:eastAsia="el"/>
        </w:rPr>
      </w:pPr>
      <w:r>
        <w:rPr>
          <w:b/>
          <w:bCs/>
          <w:lang w:val="el" w:eastAsia="el"/>
        </w:rPr>
        <w:t>Για τον έλεγχο της προϋπόθεσης της διατήρησης του αριθμού των εργαζομένων που απασχολούσε η επιχείρηση κατά την 1η Ιουνίου 2020,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spacing w:before="240" w:after="240"/>
        <w:rPr>
          <w:lang w:val="el" w:eastAsia="el"/>
        </w:rPr>
      </w:pPr>
      <w:r>
        <w:rPr>
          <w:b/>
          <w:bCs/>
          <w:lang w:val="el" w:eastAsia="el"/>
        </w:rPr>
        <w:t xml:space="preserve">Για τον υπολογισμό, προστίθεται στον αριθμό των εργαζομένων, που απασχολούσε η επιχείρηση κατά την 1η Ιουνίου 2020, για το μήνα βάσης υπολογισμού και για κάθε έναν από τους επόμενους μήνες, σωρευτικά, ο αριθμός των αναγγελιών πρόσληψης (έντυπο Ε3 ΕΡΓΑΝΗ) και αφαιρείται ο αριθμός καταγγελιών σύμβασης εργασίας (έντυπο Ε6 ΕΡΓΑΝΗ) με την εξαίρεση των καταγγελιών σύμβασης όπου έχει θεμελιωθεί το συνταξιοδοτικό δικαίωμα. </w:t>
      </w:r>
    </w:p>
    <w:p>
      <w:pPr>
        <w:spacing w:before="240" w:after="240"/>
        <w:rPr>
          <w:lang w:val="el" w:eastAsia="el"/>
        </w:rPr>
      </w:pPr>
      <w:r>
        <w:rPr>
          <w:b/>
          <w:bCs/>
          <w:lang w:val="el" w:eastAsia="el"/>
        </w:rPr>
        <w:t>Στη συνέχεια υπολογίζεται το άθροισμα του ανωτέρω μεγέθους για τους μήνες Ιούνιο 2020 έως και Οκτώβριο 2020 και διαιρείται με τον αριθμό των μηνών, ήτοι με τον αριθμό πέντε (5). Εάν το αποτέλεσμα που προκύπτει είναι μικρότερο κατά μία μονάδα και άνω από τον αριθμό των εργαζομένων που απασχολούσε η επιχείρηση κατά την 1η Ιουνίου 2020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Ιουνίου 2020 θεωρείται ότι τηρήθηκε η ανωτέρω υποχρέωση διατήρησης του αριθμού των εργαζομένων.</w:t>
      </w:r>
    </w:p>
    <w:p>
      <w:pPr>
        <w:spacing w:before="240" w:after="240"/>
        <w:rPr>
          <w:lang w:val="el" w:eastAsia="el"/>
        </w:rPr>
      </w:pPr>
      <w:r>
        <w:rPr>
          <w:b/>
          <w:bCs/>
          <w:lang w:val="el" w:eastAsia="el"/>
        </w:rPr>
        <w:t>Για τον ανωτέρω έλεγχο λαμβάνονται υπόψη τα τελευταία διαθέσιμα στοιχεία στο σύστημα ΕΡΓΑΝΗ, όπως αυτά διαβιβάζονται από το ΕΡΓΑΝΗ στην Α.Α.Δ.Ε. για τον σκοπό αυτό.</w:t>
      </w:r>
    </w:p>
    <w:p>
      <w:pPr>
        <w:pStyle w:val="MainText"/>
        <w:spacing w:before="120" w:after="0"/>
        <w:rPr>
          <w:lang w:val="el" w:eastAsia="el"/>
        </w:rPr>
      </w:pPr>
      <w:r>
        <w:rPr>
          <w:b/>
          <w:bCs/>
          <w:lang w:val="el" w:eastAsia="el"/>
        </w:rPr>
        <w:t>2.</w:t>
      </w:r>
      <w:r>
        <w:rPr>
          <w:b/>
          <w:bCs/>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31η Δεκεμβρίου 2021 τα δικαιολογητικά που προβλέπονται στο Παράρτημα ΙΙ.Β. της παρούσας, το οποίο και αποτελεί αναπόσπαστο μέρος της παρούσας. 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μέχρι και την 30η Δεκεμβρίου 2022 και από την 1η Φεβρουαρίου μέχρι και την 31η Μαΐου 2023.</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 Για τις περιπτώσεις που πριν την 30.6.2021 αντί για τα πιστοποιητικά μη πτώχευσης, μη υποβολής αίτησης για πτώχευση, μη θέσης σε αναγκαστική διαχείριση και μη υποβολής αίτησης για θέση σε αναγκαστική διαχείριση, έχει υποβληθεί Ενιαίο Πιστοποιητικό Δικαστικής Φερεγγυότητας, νοείται ότι έχει εκπληρωθεί η υποχρέωση υποβολής των σχετικών πιστοποιητικών.</w:t>
      </w:r>
    </w:p>
    <w:p>
      <w:pPr>
        <w:pStyle w:val="MainText"/>
        <w:spacing w:before="120" w:after="0"/>
        <w:rPr>
          <w:lang w:val="el" w:eastAsia="el"/>
        </w:rPr>
      </w:pPr>
      <w:r>
        <w:rPr>
          <w:b/>
          <w:bCs/>
          <w:lang w:val="el" w:eastAsia="el"/>
        </w:rPr>
        <w:t>3.</w:t>
      </w:r>
      <w:r>
        <w:rPr>
          <w:b/>
          <w:bCs/>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b/>
          <w:bCs/>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b/>
          <w:bCs/>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είναι άμεσα απαιτητό</w:t>
      </w:r>
    </w:p>
    <w:p>
      <w:pPr>
        <w:pStyle w:val="StructureList1"/>
        <w:spacing w:before="120" w:after="0"/>
        <w:rPr>
          <w:lang w:val="el" w:eastAsia="el"/>
        </w:rPr>
      </w:pPr>
      <w:r>
        <w:rPr>
          <w:b/>
          <w:bCs/>
          <w:lang w:val="el" w:eastAsia="el"/>
        </w:rPr>
        <w:t>α)</w:t>
      </w:r>
      <w:r>
        <w:rPr>
          <w:b/>
          <w:bCs/>
          <w:lang w:val="en" w:eastAsia="en"/>
        </w:rPr>
        <w:tab/>
      </w:r>
      <w:r>
        <w:rPr>
          <w:b/>
          <w:bCs/>
          <w:lang w:val="el" w:eastAsia="el"/>
        </w:rPr>
        <w:t>το σύνολο της χορηγηθείσας ενίσχυσης στην περίπτωση που η επιχείρηση δεν είναι δικαιούχος ή δεν τήρησε τους όρους της παρούσας ή</w:t>
      </w:r>
    </w:p>
    <w:p>
      <w:pPr>
        <w:pStyle w:val="StructureList1"/>
        <w:spacing w:before="120" w:after="0"/>
        <w:rPr>
          <w:lang w:val="el" w:eastAsia="el"/>
        </w:rPr>
      </w:pPr>
      <w:r>
        <w:rPr>
          <w:b/>
          <w:bCs/>
          <w:lang w:val="el" w:eastAsia="el"/>
        </w:rPr>
        <w:t>β)</w:t>
      </w:r>
      <w:r>
        <w:rPr>
          <w:b/>
          <w:bCs/>
          <w:lang w:val="en" w:eastAsia="en"/>
        </w:rPr>
        <w:tab/>
      </w:r>
      <w:r>
        <w:rPr>
          <w:b/>
          <w:bCs/>
          <w:lang w:val="el" w:eastAsia="el"/>
        </w:rPr>
        <w:t>το υπερβάλλον ποσό της ενίσχυσης στην περίπτωση που η επιχείρηση είναι δικαιούχος μικρότερου ποσού από το χορηγηθέν, εντόκως από την ημερομηνία χορήγησης της ενίσχυσης,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spacing w:before="240" w:after="240"/>
        <w:rPr>
          <w:lang w:val="el" w:eastAsia="el"/>
        </w:rPr>
      </w:pPr>
      <w:r>
        <w:rPr>
          <w:b/>
          <w:bCs/>
          <w:lang w:val="el" w:eastAsia="el"/>
        </w:rPr>
        <w:t>Τα ανωτέρω ισχύουν και για την επιστροφή του συνόλου της χορηγηθείσας ενίσχυσης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δεν υποβληθούν τα απαιτούμενα δικαιολογητικά, σύμφωνα με τα όρια μεγέθους που δηλώθηκαν στην αίτηση χορήγησης της επιστρεπτέας προκαταβολής, εντός των προθεσμιών της παρ. 2, με την επιφύλαξη της ανταπόκρισης των Δικαστηρίων εντός ΟΣΔΔΥ-ΠΠ από τα οποία το Ενιαίο Πιστοποιητικό Δικαστικής Φερεγγυότητας έχει αναζητηθεί αυτεπαγγέλτως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η επιχείρηση δεν έχει υποβάλει τις δηλώσεις φορολογίας εισοδήματος (Ε3) φορολογικού έτους 2019 και 2020, έως την 31.3.2022, εφόσον είχε κατά νόμο υποχρέωση να τις υποβάλει.</w:t>
      </w:r>
    </w:p>
    <w:p>
      <w:pPr>
        <w:spacing w:before="240" w:after="240"/>
        <w:rPr>
          <w:lang w:val="el" w:eastAsia="el"/>
        </w:rPr>
      </w:pPr>
      <w:r>
        <w:rPr>
          <w:b/>
          <w:bCs/>
          <w:lang w:val="el" w:eastAsia="el"/>
        </w:rPr>
        <w:t>Στην περίπτωση που τα απαιτούμενα δικαιολογητικά έχουν υποβληθεί στο πλαίσιο οποιασδήποτε εκ των υπό στοιχεία ΓΔΟΥ 94/2.5.2020 (Β' 1645), ΓΔΟΥ 148/3.7.2020 (Β' 2729), ΓΔΟΥ 233/10.10.2020 (Β'4471), ΓΔΟΥ 281/13.11.2020 (Β'5047), ΓΔΟΥ 19/25.1.2021 (Β'236), ΓΔΟΥ 232/1.3.2021 (Β'804) και ΓΔΟΥ 420/23.4.2021 (Β' 1689) κοινών αποφάσεων, νοείται ότι εκπληρώνεται η υποχρέωση υποβολής στο πλαίσιο της παρούσας.</w:t>
      </w:r>
    </w:p>
    <w:p>
      <w:pPr>
        <w:spacing w:before="240" w:after="240"/>
        <w:rPr>
          <w:lang w:val="el" w:eastAsia="el"/>
        </w:rPr>
      </w:pPr>
      <w:r>
        <w:rPr>
          <w:b/>
          <w:bCs/>
          <w:lang w:val="el" w:eastAsia="el"/>
        </w:rPr>
        <w:t>Στην περίπτωση που έχει εκδοθεί ο νόμιμος τίτλος είσπραξης του επιστρεπτέου ποσού και η σχετική ταυτότητα οφειλής και από τον έλεγχο προκύψει ότι:</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δεν ήταν δικαιούχος της ενίσχυσης, το επιστρεπτέο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άμεση επιστροφή του συνόλου της ενίσχυσης εντόκως, ως αχρεωστήτως καταβληθέν ποσό. Ποσά που τυχόν καταβλήθηκαν βάσει του αρχικού τίτλου είσπραξης δεν επιστρέφονται αλλά πιστώνονται στην οφειλή που προκύπτει από το νέο τίτλο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Η επιχείρηση είναι δικαιούχος μικρότερου ποσού ενίσχυσης, υπολογίζεται από την Α.Α.Δ.Ε. το αχρεωστήτως καταβληθέν ποσό που έλαβε ο δικαιούχος. Για το μέρος του αχρεωστήτως καταβληθέντος ποσού εκδίδεται από την Γ.Δ.Ο.Υ. του Υπουργείου Οικονομικών Ατομικό Φύλλο Έκπτωσης (Α.Φ.Ε.Κ.) για τη μείωση της αρχικής βεβαίωσης επιστρεπτέου ποσού, διατηρώντας τον αριθμό των υπολειπόμενων δόσεων, και ταυτόχρονα εκδίδεται νέος νόμιμος τίτλος είσπραξης για την άμεση επιστροφή του εντόκως. Σε περίπτωση που από την εκκαθάριση του Α.Φ.Ε.Κ. προκύπτει εξόφληση του αρχικού τίτλου είσπραξης, το υπερβάλλον ποσό που τυχόν καταβλήθηκε έναντι του αρχικού τίτλου είσπραξης δεν επιστρέφεται αλλά πιστώνεται στην οφειλή που προκύπτει από τον νέο τίτλο είσπραξης.</w:t>
      </w:r>
    </w:p>
    <w:p>
      <w:pPr>
        <w:spacing w:before="240" w:after="240"/>
        <w:rPr>
          <w:lang w:val="el" w:eastAsia="el"/>
        </w:rPr>
      </w:pPr>
      <w:r>
        <w:rPr>
          <w:b/>
          <w:bCs/>
          <w:lang w:val="el" w:eastAsia="el"/>
        </w:rPr>
        <w:t>Στις περ. α και β η επιχείρηση δεν δικαιούται την έκπτωση της εφάπαξ καταβολής της παρ. 3 του άρθρου 10 για κανένα καταβαλλόμενο ποσό.</w:t>
      </w:r>
    </w:p>
    <w:p>
      <w:pPr>
        <w:spacing w:before="240" w:after="240"/>
        <w:rPr>
          <w:lang w:val="el" w:eastAsia="el"/>
        </w:rPr>
      </w:pPr>
      <w:r>
        <w:rPr>
          <w:b/>
          <w:bCs/>
          <w:lang w:val="el" w:eastAsia="el"/>
        </w:rPr>
        <w:t>Για τη βεβαίωση και έκδοση ταυτότητας οφειλής των αχρεωστήτως καταβληθέντων ποσών ακολουθείται η διαδικασία του άρθρου 11Α. Ο υπολογισμός των τόκων ανάκτησης γίνεται από την ημερομηνία χορήγησης της ενίσχυσης.</w:t>
      </w:r>
    </w:p>
    <w:p>
      <w:pPr>
        <w:pStyle w:val="MainText"/>
        <w:spacing w:before="120" w:after="0"/>
        <w:rPr>
          <w:lang w:val="el" w:eastAsia="el"/>
        </w:rPr>
      </w:pPr>
      <w:r>
        <w:rPr>
          <w:b/>
          <w:bCs/>
          <w:lang w:val="el" w:eastAsia="el"/>
        </w:rPr>
        <w:t>6.</w:t>
      </w:r>
      <w:r>
        <w:rPr>
          <w:b/>
          <w:bCs/>
          <w:lang w:val="el" w:eastAsia="el"/>
        </w:rPr>
        <w:t xml:space="preserve"> Σε περίπτωση συγχρηματοδότησης, ο δικαιούχος - 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b/>
          <w:bCs/>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b/>
          <w:bCs/>
          <w:lang w:val="el" w:eastAsia="el"/>
        </w:rPr>
        <w:t xml:space="preserve"> Σε περίπτωση συγχρηματοδότησης, ο δικαιούχος -λήπτης της ενίσχυσης ενημερώνει το κοινό σχετικά με την στήριξη που έχει λάβει από τα Ταμεία:</w:t>
      </w:r>
    </w:p>
    <w:p>
      <w:pPr>
        <w:pStyle w:val="StructureList1"/>
        <w:spacing w:before="120" w:after="0"/>
        <w:rPr>
          <w:lang w:val="el" w:eastAsia="el"/>
        </w:rPr>
      </w:pPr>
      <w:r>
        <w:rPr>
          <w:b/>
          <w:bCs/>
          <w:lang w:val="el" w:eastAsia="el"/>
        </w:rPr>
        <w:t>α)</w:t>
      </w:r>
      <w:r>
        <w:rPr>
          <w:b/>
          <w:bCs/>
          <w:lang w:val="en" w:eastAsia="en"/>
        </w:rPr>
        <w:tab/>
      </w:r>
      <w:r>
        <w:rPr>
          <w:b/>
          <w:bCs/>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b/>
          <w:bCs/>
          <w:lang w:val="el" w:eastAsia="el"/>
        </w:rPr>
        <w:t>β)</w:t>
      </w:r>
      <w:r>
        <w:rPr>
          <w:b/>
          <w:bCs/>
          <w:lang w:val="en" w:eastAsia="en"/>
        </w:rPr>
        <w:tab/>
      </w:r>
      <w:r>
        <w:rPr>
          <w:b/>
          <w:bCs/>
          <w:lang w:val="el" w:eastAsia="el"/>
        </w:rPr>
        <w:t>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b/>
          <w:bCs/>
          <w:lang w:val="el" w:eastAsia="el"/>
        </w:rPr>
        <w:t>Άρθρο 11Α</w:t>
      </w:r>
      <w:r>
        <w:rPr>
          <w:b/>
          <w:bCs/>
          <w:lang w:val="el" w:eastAsia="el"/>
        </w:rPr>
        <w:t xml:space="preserve"> </w:t>
      </w:r>
    </w:p>
    <w:p>
      <w:pPr>
        <w:pStyle w:val="Heading6"/>
        <w:spacing w:before="240" w:after="240"/>
        <w:rPr>
          <w:lang w:val="el" w:eastAsia="el"/>
        </w:rPr>
      </w:pPr>
      <w:r>
        <w:rPr>
          <w:b/>
          <w:bCs/>
          <w:lang w:val="el" w:eastAsia="el"/>
        </w:rPr>
        <w:t>Αχρεωστήτως καταβληθέντα ποσά</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Για την επιστροφή αχρεωστήτως καταβληθέντων ποσών, το αχρεωστήτως καταβληθέν ποσό και ο αναλογών τόκος υπολογίζεται από την Α.Α.Δ.Ε. με βάση τα διαθέσιμα στοιχεία.</w:t>
      </w:r>
    </w:p>
    <w:p>
      <w:pPr>
        <w:spacing w:before="240" w:after="240"/>
        <w:rPr>
          <w:lang w:val="el" w:eastAsia="el"/>
        </w:rPr>
      </w:pPr>
      <w:r>
        <w:rPr>
          <w:b/>
          <w:bCs/>
          <w:lang w:val="el" w:eastAsia="el"/>
        </w:rPr>
        <w:t>Στη συνέχεια η Α.Α.Δ.Ε.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ποσό προς επιστροφή ολογράφως και αριθμητικώς και διακριτά τον αναλογούντα τόκο ολογράφως και αριθμητικώς, καθώς και διακριτή κατηγοριοποίηση ανά Α.Φ.Μ. για λήψη της ενίσχυσης από τον Τακτικό Προϋπολογισμό ή από το Π.Δ.Ε.</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απόφαση επιστροφής του αχρεωστήτως καταβληθέντος ποσού ενίσχυσης και του αναλογούντος τόκου η οποία αποτελεί νόμιμο τίτλο για την είσπραξη του αχρεωστήτως καταβληθέντος ποσού και του αναλογούντος τόκου.</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Η απόφαση επιστροφής του αχρεωστήτως καταβληθέντος ποσού και του αναλογούντος τόκου κοινοποιείται στον δικαιούχο μέσω της ανάρτησης στο πληροφοριακό σύστημα της Α.Α.Δ.Ε. myAADE, στην επιλογή Μητρώο και Επικοινωνία^-Κοινοποιήσεις και κατόπιν αποστολής ειδοποίησης με μήνυμα ηλεκτρονικού ταχυδρομείου στη δηλωθείσα από τον υπόχρεο ηλεκτρονική διεύθυνση.</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3.</w:t>
      </w:r>
      <w:r>
        <w:rPr>
          <w:b/>
          <w:bCs/>
          <w:lang w:val="el" w:eastAsia="el"/>
        </w:rPr>
        <w:t xml:space="preserve"> Το προς ανάκτηση αχρεωστήτως καταβληθέν ποσό, επιστρέφεται εντόκως από την ημερομηνία χορήγησης της ενίσχυσης μέχρι την ημερομηνία βεβαίωσής του. Το επιτόκιο που εφαρμόζεται είναι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4.</w:t>
      </w:r>
      <w:r>
        <w:rPr>
          <w:b/>
          <w:bCs/>
          <w:lang w:val="el" w:eastAsia="el"/>
        </w:rPr>
        <w:t xml:space="preserve"> Ακολούθως η Α.Α.Δ.Ε. καταχωρεί τα στοιχεία του νόμιμου τίτλου στα βιβλία εισπρακτέων εσόδων και εκδίδει τις σχετικές ταυτότητες οφειλής. 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αχρεωστήτως καταβληθέν ποσό της ενίσχυσης και διακριτά ο αναλογών τόκος, όπως έχει υπολογιστεί μέχρι την ημερομηνία της βεβαίωσης εμφανίζεται στο πληροφοριακό σύστημα της Α.Α.Δ.Ε. myAADE.</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5.</w:t>
      </w:r>
      <w:r>
        <w:rPr>
          <w:b/>
          <w:bCs/>
          <w:lang w:val="el" w:eastAsia="el"/>
        </w:rPr>
        <w:t xml:space="preserve"> Το προς επιστροφή αχρεωστήτως καταβληθέν ποσό που βεβαιώνεται στη φορολογική διοίκηση, καθίσταται καταβλητέο εφάπαξ με ανάλογη εφαρμογή της περίπτωσης α της παρ. 3 του άρθρου 10 ως προς τον χρόνο καταβολής ανεξαρτήτως της ημέρας βεβαίωσης και επιβαρύνεται με τόκους εκπρόθεσμης καταβολής σύμφωνα με τις διατάξεις του ΚΕΔΕ.</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6.</w:t>
      </w:r>
      <w:r>
        <w:rPr>
          <w:b/>
          <w:bCs/>
          <w:lang w:val="el" w:eastAsia="el"/>
        </w:rPr>
        <w:t xml:space="preserve"> Η Α.Α.Δ.Ε. μετά την είσπραξη των ποσών ενημερώνει σχετικά την Γ.Δ.Ο.Υ. του Υπουργείου Οικονομικών.</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7.</w:t>
      </w:r>
      <w:r>
        <w:rPr>
          <w:b/>
          <w:bCs/>
          <w:lang w:val="el" w:eastAsia="el"/>
        </w:rPr>
        <w:t xml:space="preserve"> Τα ποσά μετά την είσπραξή τους εμφανίζονται ως έσοδο στον κρατικό προϋπολογισμό στους Αναλυτικούς Λογαριασμούς Εσόδων (Α.Λ.Ε.)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Ειδικά για τις περιπτώσεις επιχειρήσεων που έχουν λάβει ενίσχυση από το Π.Δ.Ε. τα ποσά λογιστικοποιούνται στα έσοδα του Π.Δ.Ε. Οι αναλογούντες τόκοι εμφανίζονται ως έσοδο στον κρατικό προϋπολογισμό στους Αναλυτικούς Λογαριασμούς Εσόδων 1510902001 «Τόκοι από την επιστρεπτέα προκαταβολή ατομικών επιχειρήσεων» και 1510902002 «Τόκοι από την επιστρεπτέα προκαταβολή ιδιωτικών επιχειρήσεων με νομική μορφή».</w:t>
      </w:r>
    </w:p>
    <w:p>
      <w:pPr>
        <w:pStyle w:val="MainText"/>
        <w:spacing w:before="120" w:after="0"/>
        <w:rPr>
          <w:lang w:val="el" w:eastAsia="el"/>
        </w:rPr>
      </w:pPr>
      <w:r>
        <w:rPr>
          <w:b/>
          <w:bCs/>
          <w:lang w:val="el" w:eastAsia="el"/>
        </w:rPr>
        <w:t>8.</w:t>
      </w:r>
      <w:r>
        <w:rPr>
          <w:b/>
          <w:bCs/>
          <w:lang w:val="el" w:eastAsia="el"/>
        </w:rPr>
        <w:t xml:space="preserve">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b/>
          <w:bCs/>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11 της παρούσας.</w:t>
      </w:r>
    </w:p>
    <w:p>
      <w:pPr>
        <w:spacing w:before="240" w:after="240"/>
        <w:rPr>
          <w:lang w:val="el" w:eastAsia="el"/>
        </w:rPr>
      </w:pPr>
      <w:r>
        <w:rPr>
          <w:b/>
          <w:bCs/>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10.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10. Ο νέος τίτλος είσπραξης εξοφλείται σύμφωνα με την παρ. 3 του άρθρου 10.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10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11, η παράταση του πρώτου εδαφίου θεωρείται ως μη χορηγηθείσα και εφαρμόζεται το άρθρο 6 του ν. 4978/2022 (Κ.Ε.Δ.Ε.) επί του ποσού που βεβαιώθηκε μέχρι και 2 Νοεμβρίου 2022, από 1 Δεκεμβρίου 2022.</w:t>
      </w:r>
      <w:r>
        <w:rPr>
          <w:rStyle w:val="Hyperlink"/>
          <w:b/>
          <w:bCs/>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b/>
          <w:bCs/>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Ειδικότερα θέματα χρηματοδότησης ΠΔΕ</w:t>
      </w:r>
    </w:p>
    <w:p>
      <w:pPr>
        <w:pStyle w:val="MainText"/>
        <w:spacing w:before="120" w:after="0"/>
        <w:rPr>
          <w:lang w:val="el" w:eastAsia="el"/>
        </w:rPr>
      </w:pPr>
      <w:r>
        <w:rPr>
          <w:b/>
          <w:bCs/>
          <w:lang w:val="el" w:eastAsia="el"/>
        </w:rPr>
        <w:t>1.</w:t>
      </w:r>
      <w:r>
        <w:rPr>
          <w:b/>
          <w:bCs/>
          <w:lang w:val="el" w:eastAsia="el"/>
        </w:rPr>
        <w:t xml:space="preserve"> Η δράση, κατά το μέρος που βαρύνει τον Προϋπολογισμό Δημοσίων Επενδύσεων, χρηματοδοτείται από το συγχρηματοδοτούμενο σκέλος του Προγράμματος Δημοσίων Επενδύσεων (ΠΔΕ) του Υπουργείου Οικονομικών, ΣΑ051/2 και μέρος αυτής θα ενταχθεί, μετά την ολοκλήρωση των διαχειριστικών ενεργειών, στο Ε.Π. «Ανταγωνιστικότητα Επιχειρηματικότητα και Καινοτομία», σύμφωνα με τους Κανονισμούς 2013/1303 και 2013/1301 και το Σύστημα Διαχείρισης και Ελέγχου της Προγραμματικής Περιόδου 2014-2020.</w:t>
      </w:r>
    </w:p>
    <w:p>
      <w:pPr>
        <w:pStyle w:val="MainText"/>
        <w:spacing w:before="120" w:after="0"/>
        <w:rPr>
          <w:lang w:val="el" w:eastAsia="el"/>
        </w:rPr>
      </w:pPr>
      <w:r>
        <w:rPr>
          <w:b/>
          <w:bCs/>
          <w:lang w:val="el" w:eastAsia="el"/>
        </w:rPr>
        <w:t>2.</w:t>
      </w:r>
      <w:r>
        <w:rPr>
          <w:b/>
          <w:bCs/>
          <w:lang w:val="el" w:eastAsia="el"/>
        </w:rPr>
        <w:t xml:space="preserve"> Το ποσό της επιστρεπτέας προκαταβολής που χρηματοδοτείται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b/>
          <w:bCs/>
          <w:lang w:val="el" w:eastAsia="el"/>
        </w:rPr>
        <w:t xml:space="preserve"> Δικαιούχος της δράσης, κατά την έννοια του Κανονισμού 2013/1303,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στον ν. 4314/2014 και το Σύστημα Διαχείρισης και Ελέγχου της Προγραμματικής Περιόδου 2014-2020.</w:t>
      </w:r>
    </w:p>
    <w:p>
      <w:pPr>
        <w:spacing w:before="240" w:after="240"/>
        <w:rPr>
          <w:lang w:val="el" w:eastAsia="el"/>
        </w:rPr>
      </w:pPr>
      <w:r>
        <w:rPr>
          <w:b/>
          <w:bCs/>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b/>
          <w:bCs/>
          <w:lang w:val="el" w:eastAsia="el"/>
        </w:rPr>
        <w:t xml:space="preserve"> Η ανωτέρω υπηρεσία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10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να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b/>
          <w:bCs/>
          <w:lang w:val="el" w:eastAsia="el"/>
        </w:rPr>
        <w:t>δ)</w:t>
      </w:r>
      <w:r>
        <w:rPr>
          <w:b/>
          <w:bCs/>
          <w:lang w:val="en" w:eastAsia="en"/>
        </w:rPr>
        <w:tab/>
      </w:r>
      <w:r>
        <w:rPr>
          <w:b/>
          <w:bCs/>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(www.espa. gr) και συγκεκριμένα στον σύνδεσμο https://www.espa. gr/el/Pages/staticAntiFraudPolicy.aspx.</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b/>
          <w:bCs/>
          <w:lang w:val="el" w:eastAsia="el"/>
        </w:rPr>
        <w:t xml:space="preserve"> Για το παρόν καθεστώς ενίσχυσης η υπηρεσία της προηγούμενης παραγράφου τηρεί λεπτομερή αρχεία για τουλάχιστον δέκα (10) έτη από την ημερομηνία χορήγησης των μεμονωμένων ενισχύσεων. Από τα αρχεία αυτά πρέπει να αποδεικνύεται ότι τηρήθηκαν οι απαιτούμενες, εκ της παρούσας, προϋποθέσεις για την χορήγηση της επιστρεπτέας προκαταβολής.</w:t>
      </w:r>
    </w:p>
    <w:p>
      <w:pPr>
        <w:pStyle w:val="MainText"/>
        <w:spacing w:before="120" w:after="0"/>
        <w:rPr>
          <w:lang w:val="el" w:eastAsia="el"/>
        </w:rPr>
      </w:pPr>
      <w:r>
        <w:rPr>
          <w:b/>
          <w:bCs/>
          <w:lang w:val="el" w:eastAsia="el"/>
        </w:rPr>
        <w:t>2.</w:t>
      </w:r>
      <w:r>
        <w:rPr>
          <w:b/>
          <w:bCs/>
          <w:lang w:val="el" w:eastAsia="el"/>
        </w:rPr>
        <w:t xml:space="preserve"> Η ΑΑΔΕ υποχρεούται να θέτει στη διάθεση της Γενικής Διεύθυνσης Οικονομικών Υπηρεσιών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 δημοσίευσή της.</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 ΟΡΙΣΜΟΣ ΠΡΟΒΛΗΜΑΤΙΚΗΣ ΕΠΙΧΕΙΡΗΣΗΣ</w:t>
      </w:r>
    </w:p>
    <w:p>
      <w:pPr>
        <w:spacing w:before="240" w:after="240"/>
        <w:rPr>
          <w:lang w:val="el" w:eastAsia="el"/>
        </w:rPr>
      </w:pPr>
      <w:r>
        <w:rPr>
          <w:b/>
          <w:bCs/>
          <w:lang w:val="el" w:eastAsia="el"/>
        </w:rPr>
        <w:t> </w:t>
      </w:r>
    </w:p>
    <w:p>
      <w:pPr>
        <w:spacing w:before="240" w:after="240"/>
        <w:rPr>
          <w:lang w:val="el" w:eastAsia="el"/>
        </w:rPr>
      </w:pPr>
      <w:r>
        <w:rPr>
          <w:b/>
          <w:bCs/>
          <w:lang w:val="el" w:eastAsia="el"/>
        </w:rPr>
        <w:t>1)Με βάση τον ως άρθρο 2 παρ. 18 του Καν. 651/2014, προβληματική είναι η επιχείρηση για την οποία συντρέχει τουλάχιστον αία από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πρόκειται για εταιρεία περιορισμένης ευθύνης [πλην Μικρομεσαίας Επιχείρησης1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201Ξ/34/ΕΕ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b/>
          <w:bCs/>
          <w:lang w:val="el" w:eastAsia="el"/>
        </w:rPr>
        <w:t>β)</w:t>
      </w:r>
      <w:r>
        <w:rPr>
          <w:b/>
          <w:bCs/>
          <w:lang w:val="en" w:eastAsia="en"/>
        </w:rPr>
        <w:tab/>
      </w:r>
      <w:r>
        <w:rPr>
          <w:b/>
          <w:b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201Ξ/34/ΕΕ’</w:t>
      </w:r>
    </w:p>
    <w:p>
      <w:pPr>
        <w:pStyle w:val="StructureList1"/>
        <w:spacing w:before="120" w:after="0"/>
        <w:rPr>
          <w:lang w:val="el" w:eastAsia="el"/>
        </w:rPr>
      </w:pPr>
      <w:r>
        <w:rPr>
          <w:b/>
          <w:bCs/>
          <w:lang w:val="el" w:eastAsia="el"/>
        </w:rPr>
        <w:t>γ)</w:t>
      </w:r>
      <w:r>
        <w:rPr>
          <w:b/>
          <w:bCs/>
          <w:lang w:val="en" w:eastAsia="en"/>
        </w:rPr>
        <w:tab/>
      </w:r>
      <w:r>
        <w:rPr>
          <w:b/>
          <w:bCs/>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b/>
          <w:bCs/>
          <w:lang w:val="el" w:eastAsia="el"/>
        </w:rPr>
        <w:t>δ)</w:t>
      </w:r>
      <w:r>
        <w:rPr>
          <w:b/>
          <w:bCs/>
          <w:lang w:val="en" w:eastAsia="en"/>
        </w:rPr>
        <w:tab/>
      </w:r>
      <w:r>
        <w:rPr>
          <w:b/>
          <w:bCs/>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b/>
          <w:bCs/>
          <w:lang w:val="el" w:eastAsia="el"/>
        </w:rPr>
        <w:t>ε)</w:t>
      </w:r>
      <w:r>
        <w:rPr>
          <w:b/>
          <w:bCs/>
          <w:lang w:val="en" w:eastAsia="en"/>
        </w:rPr>
        <w:tab/>
      </w:r>
      <w:r>
        <w:rPr>
          <w:b/>
          <w:bCs/>
          <w:lang w:val="el" w:eastAsia="el"/>
        </w:rPr>
        <w:t>εάν πρόκειται για άλλη επιχείρηση εκτός ΜΜΕ, εφόσον τα τελευταία δύο έτη:</w:t>
      </w:r>
    </w:p>
    <w:p>
      <w:pPr>
        <w:spacing w:before="240" w:after="240"/>
        <w:rPr>
          <w:lang w:val="el" w:eastAsia="el"/>
        </w:rPr>
      </w:pPr>
      <w:r>
        <w:rPr>
          <w:b/>
          <w:bCs/>
          <w:lang w:val="el" w:eastAsia="el"/>
        </w:rPr>
        <w:t>2) ο δείκτης χρέους προς ίδια κεφάλαια της επιχείρησης είναι υψηλότερος του 7,5 και</w:t>
      </w:r>
    </w:p>
    <w:p>
      <w:pPr>
        <w:spacing w:before="240" w:after="240"/>
        <w:rPr>
          <w:lang w:val="el" w:eastAsia="el"/>
        </w:rPr>
      </w:pPr>
      <w:r>
        <w:rPr>
          <w:b/>
          <w:bCs/>
          <w:lang w:val="el" w:eastAsia="el"/>
        </w:rPr>
        <w:t>3)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 ΠΕΡΙΕΧΟΜΕΝΟ ΑΙΤΗΣΗΣ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b/>
          <w:bCs/>
          <w:lang w:val="el" w:eastAsia="el"/>
        </w:rPr>
        <w:t xml:space="preserve"> Στην περίπτωση που αιτείται ενίσχυσης δυνάμει του Προσωρινού Πλαισίου, η επιχείρηση δηλώνει:</w:t>
      </w:r>
    </w:p>
    <w:p>
      <w:pPr>
        <w:spacing w:before="240" w:after="240"/>
        <w:rPr>
          <w:lang w:val="el" w:eastAsia="el"/>
        </w:rPr>
      </w:pPr>
      <w:r>
        <w:rPr>
          <w:b/>
          <w:bCs/>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5"/>
        <w:gridCol w:w="744"/>
        <w:gridCol w:w="784"/>
        <w:gridCol w:w="942"/>
        <w:gridCol w:w="859"/>
        <w:gridCol w:w="835"/>
        <w:gridCol w:w="1120"/>
        <w:gridCol w:w="1057"/>
        <w:gridCol w:w="913"/>
        <w:gridCol w:w="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ΕΠΩΝΥ-ΜΙΑ </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ΟΝΟ-ΜΑΣΙΑ </w:t>
            </w:r>
          </w:p>
          <w:p>
            <w:pPr>
              <w:spacing w:before="240"/>
              <w:rPr>
                <w:b w:val="0"/>
                <w:bCs w:val="0"/>
                <w:i w:val="0"/>
                <w:iCs w:val="0"/>
                <w:smallCaps w:val="0"/>
                <w:color w:val="000000"/>
                <w:lang w:val="el" w:eastAsia="el"/>
              </w:rPr>
            </w:pPr>
            <w:r>
              <w:rPr>
                <w:b/>
                <w:bCs/>
                <w:i w:val="0"/>
                <w:iCs w:val="0"/>
                <w:smallCaps w:val="0"/>
                <w:color w:val="000000"/>
                <w:lang w:val="el" w:eastAsia="el"/>
              </w:rPr>
              <w:t>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ΦΟΡΕΑΣ </w:t>
            </w:r>
          </w:p>
          <w:p>
            <w:pPr>
              <w:spacing w:before="240" w:after="240"/>
              <w:rPr>
                <w:b w:val="0"/>
                <w:bCs w:val="0"/>
                <w:i w:val="0"/>
                <w:iCs w:val="0"/>
                <w:smallCaps w:val="0"/>
                <w:color w:val="000000"/>
                <w:lang w:val="el" w:eastAsia="el"/>
              </w:rPr>
            </w:pPr>
            <w:r>
              <w:rPr>
                <w:b/>
                <w:bCs/>
                <w:i w:val="0"/>
                <w:iCs w:val="0"/>
                <w:smallCaps w:val="0"/>
                <w:color w:val="000000"/>
                <w:lang w:val="el" w:eastAsia="el"/>
              </w:rPr>
              <w:t>ΧΟΡΗ-ΓΗΣΗΣ </w:t>
            </w:r>
          </w:p>
          <w:p>
            <w:pPr>
              <w:spacing w:before="240" w:after="240"/>
              <w:rPr>
                <w:b w:val="0"/>
                <w:bCs w:val="0"/>
                <w:i w:val="0"/>
                <w:iCs w:val="0"/>
                <w:smallCaps w:val="0"/>
                <w:color w:val="000000"/>
                <w:lang w:val="el" w:eastAsia="el"/>
              </w:rPr>
            </w:pPr>
            <w:r>
              <w:rPr>
                <w:b/>
                <w:bCs/>
                <w:i w:val="0"/>
                <w:iCs w:val="0"/>
                <w:smallCaps w:val="0"/>
                <w:color w:val="000000"/>
                <w:lang w:val="el" w:eastAsia="el"/>
              </w:rPr>
              <w:t>ΤΗΣ </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ΗΜ/ΝΙΑ </w:t>
            </w:r>
          </w:p>
          <w:p>
            <w:pPr>
              <w:spacing w:before="240" w:after="240"/>
              <w:rPr>
                <w:b w:val="0"/>
                <w:bCs w:val="0"/>
                <w:i w:val="0"/>
                <w:iCs w:val="0"/>
                <w:smallCaps w:val="0"/>
                <w:color w:val="000000"/>
                <w:lang w:val="el" w:eastAsia="el"/>
              </w:rPr>
            </w:pPr>
            <w:r>
              <w:rPr>
                <w:b/>
                <w:bCs/>
                <w:i w:val="0"/>
                <w:iCs w:val="0"/>
                <w:smallCaps w:val="0"/>
                <w:color w:val="000000"/>
                <w:lang w:val="el" w:eastAsia="el"/>
              </w:rPr>
              <w:t>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ΑΡΙΘ.ΠΡΩΤ </w:t>
            </w:r>
          </w:p>
          <w:p>
            <w:pPr>
              <w:spacing w:before="240" w:after="240"/>
              <w:rPr>
                <w:b w:val="0"/>
                <w:bCs w:val="0"/>
                <w:i w:val="0"/>
                <w:iCs w:val="0"/>
                <w:smallCaps w:val="0"/>
                <w:color w:val="000000"/>
                <w:lang w:val="el" w:eastAsia="el"/>
              </w:rPr>
            </w:pPr>
            <w:r>
              <w:rPr>
                <w:b/>
                <w:bCs/>
                <w:i w:val="0"/>
                <w:iCs w:val="0"/>
                <w:smallCaps w:val="0"/>
                <w:color w:val="000000"/>
                <w:lang w:val="el" w:eastAsia="el"/>
              </w:rPr>
              <w:t>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w:t>
            </w:r>
          </w:p>
          <w:p>
            <w:pPr>
              <w:spacing w:before="240"/>
              <w:rPr>
                <w:b w:val="0"/>
                <w:bCs w:val="0"/>
                <w:i w:val="0"/>
                <w:iCs w:val="0"/>
                <w:smallCaps w:val="0"/>
                <w:color w:val="000000"/>
                <w:lang w:val="el" w:eastAsia="el"/>
              </w:rPr>
            </w:pPr>
            <w:r>
              <w:rPr>
                <w:b/>
                <w:bCs/>
                <w:i w:val="0"/>
                <w:iCs w:val="0"/>
                <w:smallCaps w:val="0"/>
                <w:color w:val="000000"/>
                <w:lang w:val="el" w:eastAsia="el"/>
              </w:rPr>
              <w:t>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ΣΥΝΟΛΙΚΟ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ΕΓΚΡΙΘΕΝ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ΠΟΣΟ </w:t>
            </w:r>
          </w:p>
          <w:p>
            <w:pPr>
              <w:spacing w:before="240"/>
              <w:rPr>
                <w:b w:val="0"/>
                <w:bCs w:val="0"/>
                <w:i w:val="0"/>
                <w:iCs w:val="0"/>
                <w:smallCaps w:val="0"/>
                <w:color w:val="000000"/>
                <w:lang w:val="el" w:eastAsia="el"/>
              </w:rPr>
            </w:pPr>
            <w:r>
              <w:rPr>
                <w:b/>
                <w:bCs/>
                <w:i w:val="0"/>
                <w:iCs w:val="0"/>
                <w:smallCaps w:val="0"/>
                <w:color w:val="000000"/>
                <w:lang w:val="el" w:eastAsia="el"/>
              </w:rPr>
              <w:t>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γ. Αν η επιχείρηση με βάση τον ορισμό που περιλαμβάνεται στο άρθρο 2 παρ.9 της παρούσας ΚΥΑ, είναι:</w:t>
      </w:r>
    </w:p>
    <w:p>
      <w:pPr>
        <w:pStyle w:val="MainText"/>
        <w:spacing w:before="120" w:after="0"/>
        <w:rPr>
          <w:lang w:val="el" w:eastAsia="el"/>
        </w:rPr>
      </w:pPr>
      <w:r>
        <w:rPr>
          <w:b/>
          <w:bCs/>
          <w:lang w:val="el" w:eastAsia="el"/>
        </w:rPr>
        <w:t></w:t>
      </w:r>
      <w:r>
        <w:rPr>
          <w:b/>
          <w:bCs/>
          <w:lang w:val="el" w:eastAsia="el"/>
        </w:rPr>
        <w:t xml:space="preserve"> •  Πολύ μικρή</w:t>
      </w:r>
    </w:p>
    <w:p>
      <w:pPr>
        <w:pStyle w:val="MainText"/>
        <w:spacing w:before="120" w:after="0"/>
        <w:rPr>
          <w:lang w:val="el" w:eastAsia="el"/>
        </w:rPr>
      </w:pPr>
      <w:r>
        <w:rPr>
          <w:b/>
          <w:bCs/>
          <w:lang w:val="el" w:eastAsia="el"/>
        </w:rPr>
        <w:t></w:t>
      </w:r>
      <w:r>
        <w:rPr>
          <w:b/>
          <w:bCs/>
          <w:lang w:val="el" w:eastAsia="el"/>
        </w:rPr>
        <w:t xml:space="preserve"> •  Μικρή</w:t>
      </w:r>
    </w:p>
    <w:p>
      <w:pPr>
        <w:pStyle w:val="MainText"/>
        <w:spacing w:before="120" w:after="0"/>
        <w:rPr>
          <w:lang w:val="el" w:eastAsia="el"/>
        </w:rPr>
      </w:pPr>
      <w:r>
        <w:rPr>
          <w:b/>
          <w:bCs/>
          <w:lang w:val="el" w:eastAsia="el"/>
        </w:rPr>
        <w:t></w:t>
      </w:r>
      <w:r>
        <w:rPr>
          <w:b/>
          <w:bCs/>
          <w:lang w:val="el" w:eastAsia="el"/>
        </w:rPr>
        <w:t xml:space="preserve"> •  Μεσαία</w:t>
      </w:r>
    </w:p>
    <w:p>
      <w:pPr>
        <w:pStyle w:val="MainText"/>
        <w:spacing w:before="120" w:after="0"/>
        <w:rPr>
          <w:lang w:val="el" w:eastAsia="el"/>
        </w:rPr>
      </w:pPr>
      <w:r>
        <w:rPr>
          <w:b/>
          <w:bCs/>
          <w:lang w:val="el" w:eastAsia="el"/>
        </w:rPr>
        <w:t></w:t>
      </w:r>
      <w:r>
        <w:rPr>
          <w:b/>
          <w:bCs/>
          <w:lang w:val="el" w:eastAsia="el"/>
        </w:rPr>
        <w:t xml:space="preserve"> •  Μεγάλη</w:t>
      </w:r>
    </w:p>
    <w:p>
      <w:pPr>
        <w:spacing w:before="240" w:after="240"/>
        <w:rPr>
          <w:lang w:val="el" w:eastAsia="el"/>
        </w:rPr>
      </w:pPr>
      <w:r>
        <w:rPr>
          <w:b/>
          <w:bCs/>
          <w:lang w:val="el" w:eastAsia="el"/>
        </w:rPr>
        <w:t> </w:t>
      </w:r>
    </w:p>
    <w:p>
      <w:pPr>
        <w:spacing w:before="240" w:after="240"/>
        <w:rPr>
          <w:lang w:val="el" w:eastAsia="el"/>
        </w:rPr>
      </w:pPr>
      <w:r>
        <w:rPr>
          <w:b/>
          <w:bCs/>
          <w:lang w:val="el" w:eastAsia="el"/>
        </w:rPr>
        <w:t>δ. Ότι η επιχείρηση δεν ήταν προβληματική στις 31.12.2019 σύμφωνα με την έννοια του άρθρου 2 σημείου 18 του Κανονισμού 651/2014 (EE L 187/26.6.2014), σε επίπεδο αιτούσας επιχείρησης καθώς και σε επίπεδο ενιαίας επιχείρησης,</w:t>
      </w:r>
    </w:p>
    <w:p>
      <w:pPr>
        <w:spacing w:before="240" w:after="240"/>
        <w:rPr>
          <w:lang w:val="el" w:eastAsia="el"/>
        </w:rPr>
      </w:pPr>
      <w:r>
        <w:rPr>
          <w:b/>
          <w:bCs/>
          <w:lang w:val="el" w:eastAsia="el"/>
        </w:rPr>
        <w:t>ή</w:t>
      </w:r>
    </w:p>
    <w:p>
      <w:pPr>
        <w:spacing w:before="240" w:after="240"/>
        <w:rPr>
          <w:lang w:val="el" w:eastAsia="el"/>
        </w:rPr>
      </w:pPr>
      <w:r>
        <w:rPr>
          <w:b/>
          <w:bCs/>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b/>
          <w:bCs/>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b/>
          <w:bCs/>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b/>
          <w:bCs/>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η.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lang w:val="el" w:eastAsia="el"/>
        </w:rPr>
        <w:t>θ. Ότι έχει λάβει γνώση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b/>
          <w:bCs/>
          <w:lang w:val="el" w:eastAsia="el"/>
        </w:rPr>
        <w:t xml:space="preserve"> Στην περίπτωση που αιτείται ενίσχυσης δυνάμει του Κανονισμού de minimis, η επιχείρηση δηλώνει:</w:t>
      </w:r>
    </w:p>
    <w:p>
      <w:pPr>
        <w:spacing w:before="240" w:after="240"/>
        <w:rPr>
          <w:lang w:val="el" w:eastAsia="el"/>
        </w:rPr>
      </w:pPr>
      <w:r>
        <w:rPr>
          <w:b/>
          <w:bCs/>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β. Όλες τις ενισχύσεις ήσσονος σημασίας που έχει λάβει σε επίπεδο ενιαίας επιχείρησης κατά την τριετία 2018-2020: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5"/>
        <w:gridCol w:w="546"/>
        <w:gridCol w:w="546"/>
        <w:gridCol w:w="691"/>
        <w:gridCol w:w="912"/>
        <w:gridCol w:w="1079"/>
        <w:gridCol w:w="878"/>
        <w:gridCol w:w="878"/>
        <w:gridCol w:w="849"/>
        <w:gridCol w:w="988"/>
        <w:gridCol w:w="10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ΕΠΩ-ΝΥΜΙΑ </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ΟΝΟ-ΜΑΣΙΑ </w:t>
            </w:r>
          </w:p>
          <w:p>
            <w:pPr>
              <w:spacing w:before="240"/>
              <w:rPr>
                <w:b w:val="0"/>
                <w:bCs w:val="0"/>
                <w:i w:val="0"/>
                <w:iCs w:val="0"/>
                <w:smallCaps w:val="0"/>
                <w:color w:val="000000"/>
                <w:lang w:val="el" w:eastAsia="el"/>
              </w:rPr>
            </w:pPr>
            <w:r>
              <w:rPr>
                <w:b w:val="0"/>
                <w:bCs w:val="0"/>
                <w:i w:val="0"/>
                <w:iCs w:val="0"/>
                <w:smallCaps w:val="0"/>
                <w:color w:val="000000"/>
                <w:lang w:val="el" w:eastAsia="el"/>
              </w:rPr>
              <w:t>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ΤΗΣ </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ΕΦΑΡΜΟΣΤΕΟΣ ΚΑΝΟΝΙΣΜΟΣ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DE </w:t>
            </w:r>
          </w:p>
          <w:p>
            <w:pPr>
              <w:spacing w:before="240"/>
              <w:rPr>
                <w:b w:val="0"/>
                <w:bCs w:val="0"/>
                <w:i w:val="0"/>
                <w:iCs w:val="0"/>
                <w:smallCaps w:val="0"/>
                <w:color w:val="000000"/>
                <w:lang w:val="el" w:eastAsia="el"/>
              </w:rPr>
            </w:pPr>
            <w:r>
              <w:rPr>
                <w:b w:val="0"/>
                <w:bCs w:val="0"/>
                <w:i w:val="0"/>
                <w:iCs w:val="0"/>
                <w:smallCaps w:val="0"/>
                <w:color w:val="000000"/>
                <w:lang w:val="el" w:eastAsia="el"/>
              </w:rPr>
              <w:t>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 ΠΟΣΟ </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ΣΥΝΟΛΙΚΟ ΕΓΚΡΙΘΕΝ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ΠΟΣΟ </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b/>
          <w:bCs/>
          <w:lang w:val="el" w:eastAsia="el"/>
        </w:rPr>
        <w:t xml:space="preserve">Σημειώνονται τα εξής: - </w:t>
      </w:r>
    </w:p>
    <w:p>
      <w:pPr>
        <w:spacing w:before="240" w:after="240"/>
        <w:rPr>
          <w:lang w:val="el" w:eastAsia="el"/>
        </w:rPr>
      </w:pPr>
      <w:r>
        <w:rPr>
          <w:b/>
          <w:bCs/>
          <w:lang w:val="el" w:eastAsia="el"/>
        </w:rPr>
        <w:t xml:space="preserve">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w:t>
      </w:r>
    </w:p>
    <w:p>
      <w:pPr>
        <w:spacing w:before="240" w:after="240"/>
        <w:rPr>
          <w:lang w:val="el" w:eastAsia="el"/>
        </w:rPr>
      </w:pPr>
      <w:r>
        <w:rPr>
          <w:b/>
          <w:bCs/>
          <w:lang w:val="el" w:eastAsia="el"/>
        </w:rPr>
        <w:t xml:space="preserve">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 </w:t>
      </w:r>
    </w:p>
    <w:p>
      <w:pPr>
        <w:spacing w:before="240" w:after="240"/>
        <w:rPr>
          <w:lang w:val="el" w:eastAsia="el"/>
        </w:rPr>
      </w:pPr>
      <w:r>
        <w:rPr>
          <w:b/>
          <w:bCs/>
          <w:lang w:val="el" w:eastAsia="el"/>
        </w:rPr>
        <w:t xml:space="preserve">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 </w:t>
      </w:r>
    </w:p>
    <w:p>
      <w:pPr>
        <w:spacing w:before="240" w:after="240"/>
        <w:rPr>
          <w:lang w:val="el" w:eastAsia="el"/>
        </w:rPr>
      </w:pPr>
      <w:r>
        <w:rPr>
          <w:b/>
          <w:bCs/>
          <w:lang w:val="el" w:eastAsia="el"/>
        </w:rPr>
        <w:t xml:space="preserve">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 </w:t>
      </w:r>
    </w:p>
    <w:p>
      <w:pPr>
        <w:spacing w:before="240" w:after="240"/>
        <w:rPr>
          <w:lang w:val="el" w:eastAsia="el"/>
        </w:rPr>
      </w:pPr>
      <w:r>
        <w:rPr>
          <w:b/>
          <w:bCs/>
          <w:lang w:val="el" w:eastAsia="el"/>
        </w:rPr>
        <w:t xml:space="preserve">ε. Ότι για την επιχείρηση δεν συντρέχουν οι λόγοι αποκλεισμού της παραγράφου 1 του άρθρου 40 του ν. 4488/2017 (Α'137). </w:t>
      </w:r>
    </w:p>
    <w:p>
      <w:pPr>
        <w:spacing w:before="240" w:after="240"/>
        <w:rPr>
          <w:lang w:val="el" w:eastAsia="el"/>
        </w:rPr>
      </w:pPr>
      <w:r>
        <w:rPr>
          <w:b/>
          <w:bCs/>
          <w:lang w:val="el" w:eastAsia="el"/>
        </w:rPr>
        <w:t xml:space="preserve">στ. Αν η επιχείρηση είναι ΜΜΕ ή όχι, με βάση τον ορισμό που περιλαμβάνεται στο παράρτημα I του Καν. 651/2014. </w:t>
      </w:r>
    </w:p>
    <w:p>
      <w:pPr>
        <w:spacing w:before="240" w:after="240"/>
        <w:rPr>
          <w:lang w:val="el" w:eastAsia="el"/>
        </w:rPr>
      </w:pPr>
      <w:r>
        <w:rPr>
          <w:b/>
          <w:bCs/>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p>
    <w:p>
      <w:pPr>
        <w:spacing w:before="240" w:after="240"/>
        <w:rPr>
          <w:lang w:val="el" w:eastAsia="el"/>
        </w:rPr>
      </w:pPr>
      <w:r>
        <w:rPr>
          <w:b/>
          <w:bCs/>
          <w:lang w:val="el" w:eastAsia="el"/>
        </w:rPr>
        <w:t> </w:t>
      </w:r>
    </w:p>
    <w:p>
      <w:pPr>
        <w:spacing w:before="240" w:after="240"/>
        <w:rPr>
          <w:lang w:val="el" w:eastAsia="el"/>
        </w:rPr>
      </w:pPr>
      <w:r>
        <w:rPr>
          <w:b/>
          <w:bCs/>
          <w:lang w:val="el" w:eastAsia="el"/>
        </w:rPr>
        <w:t>Η επιχείρηση εφόσον έχει ενισχυθεί βάσει του Προσωρινού Πλαισίου, οφείλει, σύμφωνα με τα προβλεπόμενα στην παρ. 2 του άρθρου 11 της παρούσας να προσκομίσει τα κάτωθι δικαιολογητικά:</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εγγεγραμμένου της κεφαλαίου λόγω συσσωρευμένων ζημιών,</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b/>
          <w:bCs/>
          <w:lang w:val="el" w:eastAsia="el"/>
        </w:rPr>
        <w:t> </w:t>
      </w:r>
    </w:p>
    <w:p>
      <w:pPr>
        <w:spacing w:before="240" w:after="240"/>
        <w:rPr>
          <w:lang w:val="el" w:eastAsia="el"/>
        </w:rPr>
      </w:pPr>
      <w:r>
        <w:rPr>
          <w:b/>
          <w:bCs/>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spacing w:before="240" w:after="240"/>
        <w:rPr>
          <w:lang w:val="el" w:eastAsia="el"/>
        </w:rPr>
      </w:pPr>
      <w:r>
        <w:rPr>
          <w:b/>
          <w:bCs/>
          <w:lang w:val="el" w:eastAsia="el"/>
        </w:rPr>
        <w:t> </w:t>
      </w:r>
    </w:p>
    <w:p>
      <w:pPr>
        <w:spacing w:before="240" w:after="240"/>
        <w:rPr>
          <w:lang w:val="el" w:eastAsia="el"/>
        </w:rPr>
      </w:pPr>
      <w:r>
        <w:rPr>
          <w:b/>
          <w:bCs/>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κάλυψης χρηματοοικονομικών υποχρεώσεων της επιχείρησης (EBITDA interest coverage ratio) δεν ήταν κάτω του 1,0.</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Ενιαίο Πιστοποιητικό Δικαστικής Φερεγγυότητας.</w:t>
      </w:r>
    </w:p>
    <w:p>
      <w:pPr>
        <w:spacing w:before="240" w:after="240"/>
        <w:rPr>
          <w:lang w:val="el" w:eastAsia="el"/>
        </w:rPr>
      </w:pPr>
      <w:r>
        <w:rPr>
          <w:b/>
          <w:bCs/>
          <w:lang w:val="el" w:eastAsia="el"/>
        </w:rPr>
        <w:t xml:space="preserve">ΠΑΡΑΡΤΗΜΑ III </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3 Ιουλίου 2020</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 xml:space="preserve">Οικονομικών             </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b/>
          <w:bCs/>
          <w:lang w:val="el" w:eastAsia="el"/>
        </w:rPr>
        <w:t xml:space="preserve">Υφυπουργός Οικονομικών </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Υφυπουργός Ανάπτυξης και Επενδύσεων</w:t>
      </w:r>
    </w:p>
    <w:p>
      <w:pPr>
        <w:spacing w:before="240" w:after="240"/>
        <w:rPr>
          <w:lang w:val="el" w:eastAsia="el"/>
        </w:rPr>
      </w:pPr>
      <w:r>
        <w:rPr>
          <w:b/>
          <w:bCs/>
          <w:lang w:val="el" w:eastAsia="el"/>
        </w:rPr>
        <w:t xml:space="preserve">ΙΩΑΝΝΗΣ ΤΣΑΚΙΡΗΣ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ΓΔΟΥ 12/31.01.202301.02.2023; Τροποποίηση ΓΔΟΥ 85/29.11.202229.11.2022; Τροποποίηση ΓΔΟΥ 70/29.08.202231.08.2022; Τροποποίηση ΓΔΟΥ 60/28.07.202230.07.2022; Τροποποίηση ΓΔΟΥ 53/19.07.202221.07.2022; Τροποποίηση ΓΔΟΥ 22/26.05.202230.05.2022; Τροποποίηση ΓΔΟΥ 2/27.01.202228.01.2022; Τροποποίηση ΓΔΟΥ 1049/15.11.202116.11.2021; Τροποποίηση ΓΔΟΥ 958/29.09.202101.10.2021; Τροποποίηση ΓΔΟΥ 738/16.07.202116.07.2021; Τροποποίηση ΓΔΟΥ 609/30.06.202130.06.2021; Τροποποίηση ΓΔΟΥ 172/19.02.202020.02.2021; Τροποποίηση ΓΔΟΥ 286/23.11.202025.11.2020; Τροποποίηση ΓΔΟΥ 219/202022.09.2020; Τροποποίηση ΓΔΟΥ/31.07.202003.08.2020; Τροποποίηση ΓΔΟΥ/15.07.202015.07.2020; Τροποποίηση ΓΔΟΥ/10.07.202010.07.2020</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ΓΔΟΥ 12/31.01.202331.12.2023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