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170</w:t>
      </w:r>
    </w:p>
    <w:p>
      <w:pPr>
        <w:spacing w:before="240" w:after="240"/>
        <w:rPr>
          <w:lang w:val="el" w:eastAsia="el"/>
        </w:rPr>
      </w:pPr>
      <w:r>
        <w:rPr>
          <w:b/>
          <w:bCs/>
          <w:lang w:val="el" w:eastAsia="el"/>
        </w:rPr>
        <w:t>Τροποποίηση της υπ’ αρ. ΓΔΟΥ148/03.07.2020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 75), που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που κυρώθηκε με το άρθρο 1 του ν. 4690/2020 (Α’ 104) και ειδικότερα της παρ. 3 αυτού.</w:t>
      </w:r>
    </w:p>
    <w:p>
      <w:pPr>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3. Τον Κανονισμό (ΕΕ) 2013/1407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4. Τον Κανονισμό (ΕΕ) 2014/651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5. Τον Κανονισμό (ΕΕ) 2013/1301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2020/460 του Ευρωπαϊκού Κοινοβουλίου της 30ης Μαρτίου 2020 (L 99) και ειδικότερα την τροποποίηση της παρ. 1 του άρθρου 3 του Κανονισμού 2013/1301.</w:t>
      </w:r>
    </w:p>
    <w:p>
      <w:pPr>
        <w:spacing w:before="240" w:after="240"/>
        <w:rPr>
          <w:lang w:val="el" w:eastAsia="el"/>
        </w:rPr>
      </w:pPr>
      <w:r>
        <w:rPr>
          <w:lang w:val="el" w:eastAsia="el"/>
        </w:rPr>
        <w:t>6. Τον Κανονισμό (ΕΕ) 2013/1303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(L 347), όπως τροποποιήθηκε και ισχύει.</w:t>
      </w:r>
    </w:p>
    <w:p>
      <w:pPr>
        <w:spacing w:before="240" w:after="240"/>
        <w:rPr>
          <w:lang w:val="el" w:eastAsia="el"/>
        </w:rPr>
      </w:pPr>
      <w:r>
        <w:rPr>
          <w:lang w:val="el" w:eastAsia="el"/>
        </w:rPr>
        <w:t>7. Την ανακοίνωση της Ευρωπαϊκής Επιτροπής (ΕΕ) υπ’ αρ.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spacing w:before="240" w:after="240"/>
        <w:rPr>
          <w:lang w:val="el" w:eastAsia="el"/>
        </w:rPr>
      </w:pPr>
      <w:r>
        <w:rPr>
          <w:lang w:val="el" w:eastAsia="el"/>
        </w:rPr>
        <w:t>8. Τις διατάξεις του ν. 4314/2014 «Α)για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τροποποιήθηκε και ισχύει.</w:t>
      </w:r>
    </w:p>
    <w:p>
      <w:pPr>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και ειδικότερα τα άρθρα 23, 56, 78, 79 και 80.</w:t>
      </w:r>
    </w:p>
    <w:p>
      <w:pPr>
        <w:spacing w:before="240" w:after="240"/>
        <w:rPr>
          <w:lang w:val="el" w:eastAsia="el"/>
        </w:rPr>
      </w:pPr>
      <w:r>
        <w:rPr>
          <w:lang w:val="el" w:eastAsia="el"/>
        </w:rPr>
        <w:t>10. Τις διατάξεις της παρ. 4 της υποπαρ. Β.10 της παρ. Β του άρθρου πρώτου του ν. 4152/2013 «Επείγοντα μέτρα εφαρμογής του ν. 4046/2012, του ν. 4093/2012 και του ν. 4172/2013» (Α’ 107).</w:t>
      </w:r>
    </w:p>
    <w:p>
      <w:pPr>
        <w:spacing w:before="240" w:after="240"/>
        <w:rPr>
          <w:lang w:val="el" w:eastAsia="el"/>
        </w:rPr>
      </w:pPr>
      <w:r>
        <w:rPr>
          <w:lang w:val="el" w:eastAsia="el"/>
        </w:rPr>
        <w:t>11.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12. Τις διατάξεις του ν.δ. 356/1974 (Α’ 90), όπως ισχύουν.</w:t>
      </w:r>
    </w:p>
    <w:p>
      <w:pPr>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16. Το π.δ. 142/2017 «Οργανισμός Υπουργείου Οικονομικών» (Α’ 181).</w:t>
      </w:r>
    </w:p>
    <w:p>
      <w:pPr>
        <w:spacing w:before="240" w:after="240"/>
        <w:rPr>
          <w:lang w:val="el" w:eastAsia="el"/>
        </w:rPr>
      </w:pPr>
      <w:r>
        <w:rPr>
          <w:lang w:val="el" w:eastAsia="el"/>
        </w:rPr>
        <w:t>17. Το π.δ. 147/2017 «Οργανισμός του Υπουργείου Οικονομίας και Ανάπτυξης» (Α’ 192).</w:t>
      </w:r>
    </w:p>
    <w:p>
      <w:pPr>
        <w:spacing w:before="240" w:after="240"/>
        <w:rPr>
          <w:lang w:val="el" w:eastAsia="el"/>
        </w:rPr>
      </w:pPr>
      <w:r>
        <w:rPr>
          <w:lang w:val="el" w:eastAsia="el"/>
        </w:rPr>
        <w:t>18. Το π.δ. 80/2016 «Ανάληψη υποχρεώσεων από τους διατάκτες» (Α’ 145).</w:t>
      </w:r>
    </w:p>
    <w:p>
      <w:pPr>
        <w:spacing w:before="240" w:after="240"/>
        <w:rPr>
          <w:lang w:val="el" w:eastAsia="el"/>
        </w:rPr>
      </w:pPr>
      <w:r>
        <w:rPr>
          <w:lang w:val="el" w:eastAsia="el"/>
        </w:rPr>
        <w:t>19.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spacing w:before="240" w:after="240"/>
        <w:rPr>
          <w:lang w:val="el" w:eastAsia="el"/>
        </w:rPr>
      </w:pPr>
      <w:r>
        <w:rPr>
          <w:lang w:val="el" w:eastAsia="el"/>
        </w:rPr>
        <w:t>20. Την υπ’ αρ.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22.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23. Την υπ’ αρ. 47/18.07.2019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spacing w:before="240" w:after="240"/>
        <w:rPr>
          <w:lang w:val="el" w:eastAsia="el"/>
        </w:rPr>
      </w:pPr>
      <w:r>
        <w:rPr>
          <w:lang w:val="el" w:eastAsia="el"/>
        </w:rPr>
        <w:t>24.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25. Την υπ’ αρ. ΓΔΟΥ131/13.06.2020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w:t>
      </w:r>
    </w:p>
    <w:p>
      <w:pPr>
        <w:spacing w:before="240" w:after="240"/>
        <w:rPr>
          <w:lang w:val="el" w:eastAsia="el"/>
        </w:rPr>
      </w:pPr>
      <w:r>
        <w:rPr>
          <w:lang w:val="el" w:eastAsia="el"/>
        </w:rPr>
        <w:t>26. Την υπ’ αρ. ΓΔΟΥ 94/2.5.2020 κοινή απόφαση των Υπουργών Οικονομικών και Ανάπτυξης και Επενδύσεων «Διαδικασία και Προϋποθέσεις χορήγησης ενίσχυσης με η μορφή επιστρεπτέας προκαταβολής σε επιχειρήσεις που επλήγησαν οικονομικά λόγω της εμφάνισης και διάδοσης της νόσου του κορωνοϊού COVID-19» (Β’ 1645), όπως τροποποιήθηκε με την υπ’ αρ. ΓΔΟΥ 101/15.5.2020 (Β’ 1862) όμοια απόφαση.</w:t>
      </w:r>
    </w:p>
    <w:p>
      <w:pPr>
        <w:spacing w:before="240" w:after="240"/>
        <w:rPr>
          <w:lang w:val="el" w:eastAsia="el"/>
        </w:rPr>
      </w:pPr>
      <w:r>
        <w:rPr>
          <w:lang w:val="el" w:eastAsia="el"/>
        </w:rPr>
        <w:t>27. Την υπ’ αρ.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υπ’ αρ. Α.1080/9.4.2020 (Β’ 1294) και Α.1091/13.4.2020 (Β’ 1466) όμοιες αποφάσεις.</w:t>
      </w:r>
    </w:p>
    <w:p>
      <w:pPr>
        <w:spacing w:before="240" w:after="240"/>
        <w:rPr>
          <w:lang w:val="el" w:eastAsia="el"/>
        </w:rPr>
      </w:pPr>
      <w:r>
        <w:rPr>
          <w:lang w:val="el" w:eastAsia="el"/>
        </w:rPr>
        <w:t>28. Την υπ’ αρ. 137675/EΥΘΥ1016/19.12.2018 απόφαση του Υφυπουργού Οικονομίας και Ανάπτυξης «Αντικατάσταση της υπ’ αρ. 110427/EΥΘΥ/1020/20.10.2016 (ΦΕΚ Β’ 3521) υπουργικής απόφασης με τίτλο “Τροποποίηση και αντικατάσταση της υπ’ αρ. 81986/ 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spacing w:before="240" w:after="240"/>
        <w:rPr>
          <w:lang w:val="el" w:eastAsia="el"/>
        </w:rPr>
      </w:pPr>
      <w:r>
        <w:rPr>
          <w:lang w:val="el" w:eastAsia="el"/>
        </w:rPr>
        <w:t>29.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46274/26.09.2014 (Β’ 2573)» (Β’ 2857).</w:t>
      </w:r>
    </w:p>
    <w:p>
      <w:pPr>
        <w:spacing w:before="240" w:after="240"/>
        <w:rPr>
          <w:lang w:val="el" w:eastAsia="el"/>
        </w:rPr>
      </w:pPr>
      <w:r>
        <w:rPr>
          <w:lang w:val="el" w:eastAsia="el"/>
        </w:rPr>
        <w:t>30. Την υπ’ αρ.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 2784).</w:t>
      </w:r>
    </w:p>
    <w:p>
      <w:pPr>
        <w:spacing w:before="240" w:after="240"/>
        <w:rPr>
          <w:lang w:val="el" w:eastAsia="el"/>
        </w:rPr>
      </w:pPr>
      <w:r>
        <w:rPr>
          <w:lang w:val="el" w:eastAsia="el"/>
        </w:rPr>
        <w:t>31. Την ανάγκη στήριξης των επιχειρήσεων που πλήττονται οικονομικά λόγω της εμφάνισης και διάδοσης του κορωνοϊού COVID-19.</w:t>
      </w:r>
    </w:p>
    <w:p>
      <w:pPr>
        <w:spacing w:before="240" w:after="240"/>
        <w:rPr>
          <w:lang w:val="el" w:eastAsia="el"/>
        </w:rPr>
      </w:pPr>
      <w:r>
        <w:rPr>
          <w:lang w:val="el" w:eastAsia="el"/>
        </w:rPr>
        <w:t>32. Την ανάγκη παράτασης της προθεσμίας υποβολής αιτήσεων της υπ’ αρ. ΓΔΟΥ 148/03.07.2020 απόφασης των Υπουργών Οικονομικών και Ανάπτυξης και Επενδύσεων (Β’ 2729), όπως τροποποιήθηκε με την υπ’ αρ. ΓΔΟΥ 163/10.7.2020 (Β’ 2787) όμοια, προκειμένου να παρασχεθεί επαρκής χρόνος στους δικαιούχους.</w:t>
      </w:r>
    </w:p>
    <w:p>
      <w:pPr>
        <w:spacing w:before="240" w:after="240"/>
        <w:rPr>
          <w:lang w:val="el" w:eastAsia="el"/>
        </w:rPr>
      </w:pPr>
      <w:r>
        <w:rPr>
          <w:lang w:val="el" w:eastAsia="el"/>
        </w:rPr>
        <w:t>33. Την υπ’ αρ. 2/29750/ΔΠΓΚ/15.07.2020 εισήγηση της Διεύθυνσης Προϋπολογισμού Γενικής Κυβέρνησης του Υπουργείου Οικονομικών.</w:t>
      </w:r>
    </w:p>
    <w:p>
      <w:pPr>
        <w:spacing w:before="240" w:after="240"/>
        <w:rPr>
          <w:lang w:val="el" w:eastAsia="el"/>
        </w:rPr>
      </w:pPr>
      <w:r>
        <w:rPr>
          <w:lang w:val="el" w:eastAsia="el"/>
        </w:rPr>
        <w:t>34. Την υπ’ αρ. ΓΔΟΥ169/15.07.2020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35. Το γεγονός ότι από τις διατάξεις της παρούσας δεν προκαλείται επιπλέον δαπάνη σε βάρος του Κρατικού Προϋπολογισμού, αποφασίζουμε:</w:t>
      </w:r>
    </w:p>
    <w:p>
      <w:pPr>
        <w:spacing w:before="240" w:after="240"/>
        <w:rPr>
          <w:lang w:val="el" w:eastAsia="el"/>
        </w:rPr>
      </w:pPr>
      <w:r>
        <w:rPr>
          <w:lang w:val="el" w:eastAsia="el"/>
        </w:rPr>
        <w:t>Η παρ. 2 του άρθρου 6 της υπ’ αρ. ΓΔΟΥ148/03.07.2020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αντικαθίσταται ως εξής:</w:t>
      </w:r>
    </w:p>
    <w:p>
      <w:pPr>
        <w:spacing w:before="240" w:after="240"/>
        <w:rPr>
          <w:lang w:val="el" w:eastAsia="el"/>
        </w:rPr>
      </w:pPr>
      <w:r>
        <w:rPr>
          <w:lang w:val="el" w:eastAsia="el"/>
        </w:rPr>
        <w:t>«2. Οι αιτήσεις υποβάλλονται έως την 22η Ιουλίου 2020.».</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Υφυπουργός Οικονομικών</w:t>
      </w:r>
    </w:p>
    <w:p>
      <w:pPr>
        <w:spacing w:before="240" w:after="240"/>
        <w:rPr>
          <w:lang w:val="el" w:eastAsia="el"/>
        </w:rPr>
      </w:pPr>
      <w:r>
        <w:rPr>
          <w:b/>
          <w:bCs/>
          <w:lang w:val="el" w:eastAsia="el"/>
        </w:rPr>
        <w:t>ΧΡΗΣΤΟΣ ΑΠΟΣΤΟΛΟΣ</w:t>
      </w:r>
    </w:p>
    <w:p>
      <w:pPr>
        <w:spacing w:before="240" w:after="240"/>
        <w:rPr>
          <w:lang w:val="el" w:eastAsia="el"/>
        </w:rPr>
      </w:pPr>
      <w:r>
        <w:rPr>
          <w:b/>
          <w:bCs/>
          <w:lang w:val="el" w:eastAsia="el"/>
        </w:rPr>
        <w:t>ΣΤΑΪΚΟΥΡΑΣ ΒΕΣΥΡΟΠΟΥΛΟΣ</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