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ΨΚΔΙ46ΜΠ3Ζ-ΧΕΧ</w:t>
      </w:r>
    </w:p>
    <w:p>
      <w:pPr>
        <w:spacing w:before="240" w:after="240"/>
        <w:rPr>
          <w:lang w:val="el" w:eastAsia="el"/>
        </w:rPr>
      </w:pPr>
      <w:r>
        <w:rPr>
          <w:b/>
          <w:bCs/>
          <w:lang w:val="el" w:eastAsia="el"/>
        </w:rPr>
        <w:t>ΑΡΙΘ. ΦΕΚ: 3293B/06-08-2020</w:t>
      </w:r>
    </w:p>
    <w:p>
      <w:pPr>
        <w:spacing w:before="240" w:after="240"/>
        <w:rPr>
          <w:lang w:val="el" w:eastAsia="el"/>
        </w:rPr>
      </w:pPr>
      <w:r>
        <w:rPr>
          <w:b/>
          <w:bCs/>
          <w:lang w:val="el" w:eastAsia="el"/>
        </w:rPr>
        <w:t>Μοσχάτο, 23/07/2020</w:t>
      </w:r>
    </w:p>
    <w:p>
      <w:pPr>
        <w:spacing w:before="240" w:after="240"/>
        <w:rPr>
          <w:lang w:val="el" w:eastAsia="el"/>
        </w:rPr>
      </w:pPr>
      <w:r>
        <w:rPr>
          <w:b/>
          <w:bCs/>
          <w:lang w:val="el" w:eastAsia="el"/>
        </w:rPr>
        <w:t>Α.1175</w:t>
      </w:r>
    </w:p>
    <w:p>
      <w:pPr>
        <w:spacing w:before="240" w:after="240"/>
        <w:rPr>
          <w:lang w:val="el" w:eastAsia="el"/>
        </w:rPr>
      </w:pPr>
      <w:r>
        <w:rPr>
          <w:b/>
          <w:bCs/>
          <w:lang w:val="el" w:eastAsia="el"/>
        </w:rPr>
        <w:t xml:space="preserve">ΠΡΟΣ: </w:t>
      </w:r>
      <w:r>
        <w:rPr>
          <w:lang w:val="el" w:eastAsia="el"/>
        </w:rPr>
        <w:t>Ως Πίνακας Διανομής</w:t>
      </w:r>
    </w:p>
    <w:p>
      <w:pPr>
        <w:spacing w:before="240" w:after="240"/>
        <w:rPr>
          <w:lang w:val="el" w:eastAsia="el"/>
        </w:rPr>
      </w:pPr>
      <w:r>
        <w:rPr>
          <w:b/>
          <w:bCs/>
          <w:lang w:val="el" w:eastAsia="el"/>
        </w:rPr>
        <w:t>ΘEΜA: Παράταση έως 31/10/2020 της προθεσμίας αναβάθμισης των ενεργών ΦΗΜ σύμφωνα με τα οριζόμενα στην Απόφαση Διοικητή ΑΑΔΕ Α.1024/2020 «Συμπληρωματικές τεχνικές προδιαγραφές πρωτοκόλλου επικοινωνίας και κρυπτογράφησης για την διαβίβαση δεδομένων στο πληροφοριακό σύστημα των ΦΗΜ» (Β’ 317), όπως ισχύει.</w:t>
      </w:r>
    </w:p>
    <w:p>
      <w:pPr>
        <w:spacing w:before="240" w:after="240"/>
        <w:rPr>
          <w:lang w:val="el" w:eastAsia="el"/>
        </w:rPr>
      </w:pPr>
      <w:r>
        <w:rPr>
          <w:b/>
          <w:bCs/>
          <w:lang w:val="el" w:eastAsia="el"/>
        </w:rPr>
        <w:t>ΑΠΟΦΑΣΗO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 και 40 του ν. 4308/2014 (A’ 251) «Ελληνικά Λογιστικά Πρότυπα συναφείς ρυθμίσεις και άλλες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Απόφασης Διοικητή ΑΑΔΕ Α.1024/2020 (Β’ 317) «Συμπληρωματικές τεχνικές προδιαγραφές πρωτοκόλλου επικοινωνίας και κρυπτογράφησης για την διαβίβαση δεδομένων στο πληροφοριακό σύστημα των ΦΗΜ», όπως τροποποιήθηκε με την Απόφαση Διοικητή ΑΑΔΕ Α.1102/2020 (Β’ 1812).</w:t>
      </w:r>
    </w:p>
    <w:p>
      <w:pPr>
        <w:pStyle w:val="StructureList1"/>
        <w:spacing w:before="120" w:after="0"/>
        <w:rPr>
          <w:lang w:val="el" w:eastAsia="el"/>
        </w:rPr>
      </w:pPr>
      <w:r>
        <w:rPr>
          <w:b/>
          <w:bCs/>
          <w:lang w:val="el" w:eastAsia="el"/>
        </w:rPr>
        <w:t>γ)</w:t>
      </w:r>
      <w:r>
        <w:rPr>
          <w:b/>
          <w:bCs/>
          <w:lang w:val="en" w:eastAsia="en"/>
        </w:rPr>
        <w:tab/>
      </w:r>
      <w:r>
        <w:rPr>
          <w:b/>
          <w:bCs/>
          <w:lang w:val="el" w:eastAsia="el"/>
        </w:rPr>
        <w:t>Της Απόφασης Διοικητή ΑΑΔΕ ΠΟΛ 1166/2018 (Β’ 3603) «Τεχνικές προδιαγραφές πρωτοκόλλου επικοινωνίας και κρυπτογράφησης για την διαβίβαση δεδομένων στο πληροφοριακό σύστημα των ΦΗΜ».</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Α.Υ.Ο. ΠΟΛ.1220/2012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w:t>
      </w:r>
    </w:p>
    <w:p>
      <w:pPr>
        <w:pStyle w:val="StructureList1"/>
        <w:spacing w:before="120" w:after="0"/>
        <w:rPr>
          <w:lang w:val="el" w:eastAsia="el"/>
        </w:rPr>
      </w:pPr>
      <w:r>
        <w:rPr>
          <w:b/>
          <w:bCs/>
          <w:lang w:val="el" w:eastAsia="el"/>
        </w:rPr>
        <w:t>ε)</w:t>
      </w:r>
      <w:r>
        <w:rPr>
          <w:b/>
          <w:bCs/>
          <w:lang w:val="en" w:eastAsia="en"/>
        </w:rPr>
        <w:tab/>
      </w:r>
      <w:r>
        <w:rPr>
          <w:b/>
          <w:bCs/>
          <w:lang w:val="el" w:eastAsia="el"/>
        </w:rPr>
        <w:t>της Α.Υ.Ο. ΠΟΛ 1221/2012 (Β’ 3513) «Αναβάθμιση λογισμικών υποστήριξης των Ε.Α.Φ.Δ.Σ.Σ. - Καθορισμός αποστελλομένων αρχείων δεδομένων των φορολογικών στοιχείων στην Γ.Γ.Π.Σ. κατ' εφαρμογή των διατάξεων του άρθρου 20 του Ν. 3842/2010 (ΦΕΚ 58/Α/23.4.2010)»</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Απόφασης Γ.Γ.Δ.Ε ΠΟΛ 1068/1-4-2015 (Β’497)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b/>
          <w:bCs/>
          <w:lang w:val="el" w:eastAsia="el"/>
        </w:rPr>
        <w:t>ζ)</w:t>
      </w:r>
      <w:r>
        <w:rPr>
          <w:b/>
          <w:bCs/>
          <w:lang w:val="en" w:eastAsia="en"/>
        </w:rPr>
        <w:tab/>
      </w:r>
      <w:r>
        <w:rPr>
          <w:b/>
          <w:bCs/>
          <w:lang w:val="el" w:eastAsia="el"/>
        </w:rPr>
        <w:t>του Κεφαλαίου Α’ «Σύσταση Ανεξάρτητης Αρχής Δημοσίων Εσόδων» του ν. 4389/2016 (Α΄ 94) και ειδικότερα της παραγράφου 1 του άρθρου 2, του άρθρου 7, των παραγράφων 1 και 5 του άρθρου 14 και του άρθρου 41 αυτού.</w:t>
      </w:r>
    </w:p>
    <w:p>
      <w:pPr>
        <w:pStyle w:val="StructureList1"/>
        <w:spacing w:before="120" w:after="0"/>
        <w:rPr>
          <w:lang w:val="el" w:eastAsia="el"/>
        </w:rPr>
      </w:pPr>
      <w:r>
        <w:rPr>
          <w:b/>
          <w:bCs/>
          <w:lang w:val="el" w:eastAsia="el"/>
        </w:rPr>
        <w:t>η)</w:t>
      </w:r>
      <w:r>
        <w:rPr>
          <w:b/>
          <w:bCs/>
          <w:lang w:val="en" w:eastAsia="en"/>
        </w:rPr>
        <w:tab/>
      </w:r>
      <w:r>
        <w:rPr>
          <w:b/>
          <w:bCs/>
          <w:lang w:val="el" w:eastAsia="el"/>
        </w:rPr>
        <w:t>της αριθ. Δ. ΟΡΓ. Α 1036960 ΕΞ 2017/10-03-2017 (Β΄ 968 και 1238)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b/>
          <w:bCs/>
          <w:lang w:val="el" w:eastAsia="el"/>
        </w:rPr>
        <w:t>2.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όπως ισχύουν, τις αποφάσεις αριθ. 39/3/30.11.2017(ΥΟΔΔ 689) του Συμβουλίου Διοίκησης της ΑΑΔΕ και αριθ. (5294 ΕΞ 2020/17.01.2020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3. Την ανάγκη παροχής πρόσθετου χρόνου για τη διευκόλυνση των επιχειρήσεων ως προς την εκπλήρωση της υποχρέωσης αναβάθμισης λογισμικών των χρησιμοποιούμενων Φορολογικών Ηλεκτρονικών Μηχανισμών (Φορολογικών Ταμειακών Μηχανών, ΑΔΗΜΕ, ΕΑΦΔΣΣ, ΑΔΗΜΕ ταξιμέτρου), που αφορούν στο πρωτόκολλο επικοινωνίας και κρυπτογράφησης για την διαβίβαση των δεδομένων τους στο πληροφοριακό σύστημα των ΦΗΜ, σε συνάφεια με τα μέτρα που λαμβάνονται για την αντιμετώπιση των αρνητικών συνεπειών εμφάνισης του ιού COVID-19 και της ανάγκης περιορισμού της διάδοσής του.</w:t>
      </w:r>
    </w:p>
    <w:p>
      <w:pPr>
        <w:spacing w:before="240" w:after="240"/>
        <w:rPr>
          <w:lang w:val="el" w:eastAsia="el"/>
        </w:rPr>
      </w:pPr>
      <w:r>
        <w:rPr>
          <w:b/>
          <w:bCs/>
          <w:lang w:val="el" w:eastAsia="el"/>
        </w:rPr>
        <w:t>4.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Απόφαση του Διοικητή της Α.Α.Δ.Ε. Α.1024/2020 (Β’ 317) «Συμπληρωματικές τεχνικές προδιαγραφές πρωτοκόλλου επικοινωνίας και κρυπτογράφησης για την διαβίβαση δεδομένων στο πληροφοριακό σύστημα των ΦΗΜ», όπως ισχύει, ως ακολούθως:</w:t>
      </w:r>
    </w:p>
    <w:p>
      <w:pPr>
        <w:spacing w:before="240" w:after="240"/>
        <w:rPr>
          <w:lang w:val="el" w:eastAsia="el"/>
        </w:rPr>
      </w:pPr>
      <w:r>
        <w:rPr>
          <w:b/>
          <w:bCs/>
          <w:lang w:val="el" w:eastAsia="el"/>
        </w:rPr>
        <w:t>Η περίπτωση β’ της παραγράφου 6.3 του άρθρου 6 αντικαθίσταται ως εξής:</w:t>
      </w:r>
    </w:p>
    <w:p>
      <w:pPr>
        <w:spacing w:before="240" w:after="240"/>
        <w:rPr>
          <w:lang w:val="el" w:eastAsia="el"/>
        </w:rPr>
      </w:pPr>
      <w:r>
        <w:rPr>
          <w:b/>
          <w:bCs/>
          <w:lang w:val="el" w:eastAsia="el"/>
        </w:rPr>
        <w:t xml:space="preserve">«β. Με εξαίρεση τις ΑΔΗΜΕ ταξιμέτρου, οι υπάρχοντες ενεργοί ΦΗΜ υποχρεούνται σε αναβάθμιση σύμφωνα με τα οριζόμενα στην παρούσα μέχρι </w:t>
      </w:r>
      <w:r>
        <w:rPr>
          <w:b/>
          <w:bCs/>
          <w:lang w:val="el" w:eastAsia="el"/>
        </w:rPr>
        <w:t>31/10/2020</w:t>
      </w:r>
      <w:r>
        <w:rPr>
          <w:b/>
          <w:bCs/>
          <w:lang w:val="el" w:eastAsia="el"/>
        </w:rPr>
        <w:t>.».</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Ανεξάρτητης Αρχής Δημοσίων Εσόδων Γεώργιος Πιτσιλής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I. </w:t>
      </w:r>
      <w:r>
        <w:rPr>
          <w:b/>
          <w:bCs/>
          <w:u w:val="single"/>
          <w:lang w:val="el" w:eastAsia="el"/>
        </w:rPr>
        <w:t>ΑΠΟΔΕΚΤΕΣ ΓΙΑ ΕΝΕΡΓΕΙΑ</w:t>
      </w:r>
    </w:p>
    <w:p>
      <w:pPr>
        <w:spacing w:before="240" w:after="240"/>
        <w:rPr>
          <w:lang w:val="el" w:eastAsia="el"/>
        </w:rPr>
      </w:pPr>
      <w:r>
        <w:rPr>
          <w:b/>
          <w:bCs/>
          <w:lang w:val="el" w:eastAsia="el"/>
        </w:rPr>
        <w:t>1. Εθνικό Τυπογραφείο (ηλεκτρονική διεύθυνση “webmaster.et@et.gr”), για δημοσίευση της απόφασης</w:t>
      </w:r>
    </w:p>
    <w:p>
      <w:pPr>
        <w:spacing w:before="240" w:after="240"/>
        <w:rPr>
          <w:lang w:val="el" w:eastAsia="el"/>
        </w:rPr>
      </w:pPr>
      <w:r>
        <w:rPr>
          <w:b/>
          <w:bCs/>
          <w:lang w:val="el" w:eastAsia="el"/>
        </w:rPr>
        <w:t>2. Σύνδεσμος Εισαγωγέων και Κατασκευαστών Ταμειακών Συστημάτων (ΣΕΚΤ) -Λ. Αθηνών 165 ΤΚ 12461 Χαϊδάρι. Για την ενημέρωση των μελών του</w:t>
      </w:r>
    </w:p>
    <w:p>
      <w:pPr>
        <w:spacing w:before="240" w:after="240"/>
        <w:rPr>
          <w:lang w:val="el" w:eastAsia="el"/>
        </w:rPr>
      </w:pPr>
      <w:r>
        <w:rPr>
          <w:b/>
          <w:bCs/>
          <w:lang w:val="el" w:eastAsia="el"/>
        </w:rPr>
        <w:t>3. Σύνδεσμος Επιχειρήσεων Πληροφορικής &amp; Επικοινωνιών Ελλάδας (ΣΕΠΕ) Αμβροσίου Φραντζή 19 ΤΚ 11743 Αθήνα. Για την ενημέρωση των μελών του</w:t>
      </w:r>
    </w:p>
    <w:p>
      <w:pPr>
        <w:spacing w:before="240" w:after="240"/>
        <w:rPr>
          <w:lang w:val="el" w:eastAsia="el"/>
        </w:rPr>
      </w:pPr>
      <w:r>
        <w:rPr>
          <w:b/>
          <w:bCs/>
          <w:lang w:val="el" w:eastAsia="el"/>
        </w:rPr>
        <w:t>4. ΔΙ.Σ.ΤΕ.ΠΛ.(με την παράκληση ανάρτησης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b/>
          <w:bCs/>
          <w:lang w:val="el" w:eastAsia="el"/>
        </w:rPr>
        <w:t>2.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lang w:val="el" w:eastAsia="el"/>
        </w:rPr>
        <w:t>3.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Ειδικού Γραμματέα Σ.Δ.Ο.Ε.</w:t>
      </w:r>
    </w:p>
    <w:p>
      <w:pPr>
        <w:pStyle w:val="StructureList1"/>
        <w:spacing w:before="120" w:after="0"/>
        <w:rPr>
          <w:lang w:val="el" w:eastAsia="el"/>
        </w:rPr>
      </w:pPr>
      <w:r>
        <w:rPr>
          <w:b/>
          <w:bCs/>
          <w:lang w:val="el" w:eastAsia="el"/>
        </w:rPr>
        <w:t>δ)</w:t>
      </w:r>
      <w:r>
        <w:rPr>
          <w:b/>
          <w:bCs/>
          <w:lang w:val="en" w:eastAsia="en"/>
        </w:rPr>
        <w:tab/>
      </w:r>
      <w:r>
        <w:rPr>
          <w:b/>
          <w:bCs/>
          <w:lang w:val="el" w:eastAsia="el"/>
        </w:rPr>
        <w:t>Κεντρική Υπηρεσία Σ.Δ.Ο.Ε. και Περιφερειακές Δ/νσεις.</w:t>
      </w:r>
    </w:p>
    <w:p>
      <w:pPr>
        <w:spacing w:before="240" w:after="240"/>
        <w:rPr>
          <w:lang w:val="el" w:eastAsia="el"/>
        </w:rPr>
      </w:pPr>
      <w:r>
        <w:rPr>
          <w:b/>
          <w:bCs/>
          <w:lang w:val="el" w:eastAsia="el"/>
        </w:rPr>
        <w:t>4. Ανεξάρτητη Αρχή Δημοσίων Εσόδων</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Φορολογικές Περιφέρειες: Αθηνών, Πειραιώς, Θεσσαλονίκης, Πατρών</w:t>
      </w:r>
    </w:p>
    <w:p>
      <w:pPr>
        <w:pStyle w:val="StructureList1"/>
        <w:spacing w:before="120" w:after="0"/>
        <w:rPr>
          <w:lang w:val="el" w:eastAsia="el"/>
        </w:rPr>
      </w:pPr>
      <w:r>
        <w:rPr>
          <w:b/>
          <w:bCs/>
          <w:lang w:val="el" w:eastAsia="el"/>
        </w:rPr>
        <w:t>β)</w:t>
      </w:r>
      <w:r>
        <w:rPr>
          <w:b/>
          <w:bCs/>
          <w:lang w:val="en" w:eastAsia="en"/>
        </w:rPr>
        <w:tab/>
      </w:r>
      <w:r>
        <w:rPr>
          <w:b/>
          <w:bCs/>
          <w:lang w:val="el" w:eastAsia="el"/>
        </w:rPr>
        <w:t>ΔΙ.Π.Α.Ε.Ε.</w:t>
      </w:r>
    </w:p>
    <w:p>
      <w:pPr>
        <w:pStyle w:val="StructureList1"/>
        <w:spacing w:before="120" w:after="0"/>
        <w:rPr>
          <w:lang w:val="el" w:eastAsia="el"/>
        </w:rPr>
      </w:pPr>
      <w:r>
        <w:rPr>
          <w:b/>
          <w:bCs/>
          <w:lang w:val="el" w:eastAsia="el"/>
        </w:rPr>
        <w:t>γ)</w:t>
      </w:r>
      <w:r>
        <w:rPr>
          <w:b/>
          <w:bCs/>
          <w:lang w:val="en" w:eastAsia="en"/>
        </w:rPr>
        <w:tab/>
      </w:r>
      <w:r>
        <w:rPr>
          <w:b/>
          <w:bCs/>
          <w:lang w:val="el" w:eastAsia="el"/>
        </w:rPr>
        <w:t>Όλες οι Υ.Ε.Δ.Δ.Ε.</w:t>
      </w:r>
    </w:p>
    <w:p>
      <w:pPr>
        <w:pStyle w:val="StructureList1"/>
        <w:spacing w:before="120" w:after="0"/>
        <w:rPr>
          <w:lang w:val="el" w:eastAsia="el"/>
        </w:rPr>
      </w:pPr>
      <w:r>
        <w:rPr>
          <w:b/>
          <w:bCs/>
          <w:lang w:val="el" w:eastAsia="el"/>
        </w:rPr>
        <w:t>δ)</w:t>
      </w:r>
      <w:r>
        <w:rPr>
          <w:b/>
          <w:bCs/>
          <w:lang w:val="en" w:eastAsia="en"/>
        </w:rPr>
        <w:tab/>
      </w:r>
      <w:r>
        <w:rPr>
          <w:b/>
          <w:bCs/>
          <w:lang w:val="el" w:eastAsia="el"/>
        </w:rPr>
        <w:t>Δ.Α.Φ.Ε.</w:t>
      </w:r>
    </w:p>
    <w:p>
      <w:pPr>
        <w:pStyle w:val="StructureList1"/>
        <w:spacing w:before="120" w:after="0"/>
        <w:rPr>
          <w:lang w:val="el" w:eastAsia="el"/>
        </w:rPr>
      </w:pPr>
      <w:r>
        <w:rPr>
          <w:b/>
          <w:bCs/>
          <w:lang w:val="el" w:eastAsia="el"/>
        </w:rPr>
        <w:t>ε)</w:t>
      </w:r>
      <w:r>
        <w:rPr>
          <w:b/>
          <w:bCs/>
          <w:lang w:val="en" w:eastAsia="en"/>
        </w:rPr>
        <w:tab/>
      </w:r>
      <w:r>
        <w:rPr>
          <w:b/>
          <w:bCs/>
          <w:lang w:val="el" w:eastAsia="el"/>
        </w:rPr>
        <w:t>Όλες οι 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κου Διοικητή της Α.Α.Δ.Ε.</w:t>
      </w:r>
    </w:p>
    <w:p>
      <w:pPr>
        <w:spacing w:before="240" w:after="240"/>
        <w:rPr>
          <w:lang w:val="el" w:eastAsia="el"/>
        </w:rPr>
      </w:pPr>
      <w:r>
        <w:rPr>
          <w:b/>
          <w:bCs/>
          <w:lang w:val="el" w:eastAsia="el"/>
        </w:rPr>
        <w:t>2. Προϊσταμένους των Γενικών Διευθύνσεων της Α.Α.Δ.Ε.</w:t>
      </w:r>
    </w:p>
    <w:p>
      <w:pPr>
        <w:spacing w:before="240" w:after="240"/>
        <w:rPr>
          <w:lang w:val="el" w:eastAsia="el"/>
        </w:rPr>
      </w:pPr>
      <w:r>
        <w:rPr>
          <w:b/>
          <w:bCs/>
          <w:lang w:val="el" w:eastAsia="el"/>
        </w:rPr>
        <w:t>3. Διευθύνσεις της Γενικής Διεύθυνσης Φορολογικής Διοίκησης</w:t>
      </w:r>
    </w:p>
    <w:p>
      <w:pPr>
        <w:spacing w:before="240" w:after="240"/>
        <w:rPr>
          <w:lang w:val="el" w:eastAsia="el"/>
        </w:rPr>
      </w:pPr>
      <w:r>
        <w:rPr>
          <w:b/>
          <w:bCs/>
          <w:lang w:val="el" w:eastAsia="el"/>
        </w:rPr>
        <w:t>4. Διεύθυνση Διαχείρισης Υποδομών</w:t>
      </w:r>
    </w:p>
    <w:p>
      <w:pPr>
        <w:spacing w:before="240" w:after="240"/>
        <w:rPr>
          <w:lang w:val="el" w:eastAsia="el"/>
        </w:rPr>
      </w:pPr>
      <w:r>
        <w:rPr>
          <w:b/>
          <w:bCs/>
          <w:lang w:val="el" w:eastAsia="el"/>
        </w:rPr>
        <w:t>5. Αυτοτελές Tμήμα Ασφάλειας Γ.Δ.ΗΛΕ.Δ.</w:t>
      </w:r>
    </w:p>
    <w:p>
      <w:pPr>
        <w:spacing w:before="240" w:after="240"/>
        <w:rPr>
          <w:lang w:val="el" w:eastAsia="el"/>
        </w:rPr>
      </w:pPr>
      <w:r>
        <w:rPr>
          <w:b/>
          <w:bCs/>
          <w:lang w:val="el" w:eastAsia="el"/>
        </w:rPr>
        <w:t>6. Διεύθυνση Νομικής Υποστήριξης</w:t>
      </w:r>
    </w:p>
    <w:p>
      <w:pPr>
        <w:spacing w:before="240" w:after="240"/>
        <w:rPr>
          <w:lang w:val="el" w:eastAsia="el"/>
        </w:rPr>
      </w:pPr>
      <w:r>
        <w:rPr>
          <w:b/>
          <w:bCs/>
          <w:lang w:val="el" w:eastAsia="el"/>
        </w:rPr>
        <w:t>7. Αυτοτελές Τμήμα Συντονισμού, Μεταρρυθμιστικών Δράσεων και Επικοινωνίας (Α.Τ.Σ.ΜΕ.Δ.Ε.)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