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 ΓΕΝ. Δ/ΝΣΗ ΦΟΡΟΛΟΓΙΚΗΣ ΔΙΟΙΚΗΣΗΣ</w:t>
      </w:r>
    </w:p>
    <w:p>
      <w:pPr>
        <w:pStyle w:val="Title"/>
        <w:spacing w:before="120" w:after="360"/>
        <w:rPr>
          <w:lang w:val="el" w:eastAsia="el"/>
        </w:rPr>
      </w:pPr>
      <w:r>
        <w:rPr>
          <w:b/>
          <w:bCs/>
          <w:lang w:val="el" w:eastAsia="el"/>
        </w:rPr>
        <w:t>Δ/ΝΣΗ ΕΦΑΡΜΟΓΗΣ ΕΜΜΕΣΗΣ</w:t>
      </w:r>
    </w:p>
    <w:p>
      <w:pPr>
        <w:pStyle w:val="Title"/>
        <w:spacing w:before="120" w:after="360"/>
        <w:rPr>
          <w:lang w:val="el" w:eastAsia="el"/>
        </w:rPr>
      </w:pPr>
      <w:r>
        <w:rPr>
          <w:b/>
          <w:bCs/>
          <w:lang w:val="el" w:eastAsia="el"/>
        </w:rPr>
        <w:t>ΦΟΡΟΛΟΓΙΑΣ - ΤΜΗΜΑ Α΄: Φ.Π.Α</w:t>
      </w:r>
    </w:p>
    <w:p>
      <w:pPr>
        <w:pStyle w:val="Title"/>
        <w:spacing w:before="120" w:after="360"/>
        <w:rPr>
          <w:lang w:val="el" w:eastAsia="el"/>
        </w:rPr>
      </w:pPr>
      <w:r>
        <w:rPr>
          <w:b/>
          <w:bCs/>
          <w:lang w:val="el" w:eastAsia="el"/>
        </w:rPr>
        <w:t>Β. ΓΕΝ. Δ/ΝΣΗ ΤΕΛΩΝΕΙΩΝ &amp; Ε.Φ.Κ</w:t>
      </w:r>
    </w:p>
    <w:p>
      <w:pPr>
        <w:pStyle w:val="Title"/>
        <w:spacing w:before="120" w:after="360"/>
        <w:rPr>
          <w:lang w:val="el" w:eastAsia="el"/>
        </w:rPr>
      </w:pPr>
      <w:r>
        <w:rPr>
          <w:b/>
          <w:bCs/>
          <w:lang w:val="el" w:eastAsia="el"/>
        </w:rPr>
        <w:t>Δ/ΝΣΗ Ε.Φ.Κ &amp; Φ.Π.Α</w:t>
      </w:r>
    </w:p>
    <w:p>
      <w:pPr>
        <w:pStyle w:val="Heading1"/>
        <w:spacing w:before="240" w:after="240"/>
        <w:rPr>
          <w:lang w:val="el" w:eastAsia="el"/>
        </w:rPr>
      </w:pPr>
      <w:r>
        <w:rPr>
          <w:b/>
          <w:bCs/>
          <w:lang w:val="el" w:eastAsia="el"/>
        </w:rPr>
        <w:t xml:space="preserve">ΤΜΗΜΑ Ε΄: </w:t>
      </w:r>
    </w:p>
    <w:p>
      <w:pPr>
        <w:pStyle w:val="Heading1"/>
        <w:spacing w:before="240" w:after="240"/>
        <w:rPr>
          <w:lang w:val="el" w:eastAsia="el"/>
        </w:rPr>
      </w:pPr>
      <w:r>
        <w:rPr>
          <w:b/>
          <w:bCs/>
          <w:lang w:val="el" w:eastAsia="el"/>
        </w:rPr>
        <w:t>Φ.Π.Α ΕΙΣΑΓΩΓΩΝ ΕΞΑΓΩΓΩΝ</w:t>
      </w:r>
    </w:p>
    <w:p>
      <w:pPr>
        <w:spacing w:before="240" w:after="240"/>
        <w:rPr>
          <w:lang w:val="el" w:eastAsia="el"/>
        </w:rPr>
      </w:pPr>
      <w:r>
        <w:rPr>
          <w:b/>
          <w:bCs/>
          <w:u w:val="single"/>
          <w:lang w:val="el" w:eastAsia="el"/>
        </w:rPr>
        <w:t>ΕΞ. ΕΠΕΙΓΟΝ</w:t>
      </w:r>
    </w:p>
    <w:p>
      <w:pPr>
        <w:spacing w:before="240" w:after="240"/>
        <w:rPr>
          <w:lang w:val="el" w:eastAsia="el"/>
        </w:rPr>
      </w:pPr>
      <w:r>
        <w:rPr>
          <w:b/>
          <w:bCs/>
          <w:u w:val="single"/>
          <w:lang w:val="el" w:eastAsia="el"/>
        </w:rPr>
        <w:t>ΑΝΑΡΤΗΤΕΑ ΣΤΟ ΔΙΑΔΙΚΤΥΟ</w:t>
      </w:r>
    </w:p>
    <w:p>
      <w:pPr>
        <w:spacing w:before="240" w:after="240"/>
        <w:rPr>
          <w:lang w:val="el" w:eastAsia="el"/>
        </w:rPr>
      </w:pPr>
      <w:r>
        <w:rPr>
          <w:b/>
          <w:bCs/>
          <w:u w:val="single"/>
          <w:lang w:val="el" w:eastAsia="el"/>
        </w:rPr>
        <w:t>ΟΡΘΗ ΕΠΑΝΑΛΗΨΗ</w:t>
      </w:r>
    </w:p>
    <w:p>
      <w:pPr>
        <w:spacing w:before="240" w:after="240"/>
        <w:rPr>
          <w:lang w:val="el" w:eastAsia="el"/>
        </w:rPr>
      </w:pPr>
      <w:r>
        <w:rPr>
          <w:b/>
          <w:bCs/>
          <w:u w:val="single"/>
          <w:lang w:val="el" w:eastAsia="el"/>
        </w:rPr>
        <w:t>ΩΣ ΠΡΟΣ ΤΟΥΣ ΑΠΟΔΕΚΤΕΣ</w:t>
      </w:r>
    </w:p>
    <w:p>
      <w:pPr>
        <w:spacing w:before="240" w:after="240"/>
        <w:rPr>
          <w:lang w:val="el" w:eastAsia="el"/>
        </w:rPr>
      </w:pPr>
      <w:r>
        <w:rPr>
          <w:b/>
          <w:bCs/>
          <w:lang w:val="el" w:eastAsia="el"/>
        </w:rPr>
        <w:t>ΑΔΑ</w:t>
      </w:r>
      <w:r>
        <w:rPr>
          <w:lang w:val="el" w:eastAsia="el"/>
        </w:rPr>
        <w:t xml:space="preserve">: </w:t>
      </w:r>
      <w:r>
        <w:rPr>
          <w:b/>
          <w:bCs/>
          <w:lang w:val="el" w:eastAsia="el"/>
        </w:rPr>
        <w:t>5ΣΞΒ46ΜΠ3Ζ-Η5Θ</w:t>
      </w:r>
    </w:p>
    <w:p>
      <w:pPr>
        <w:spacing w:before="240" w:after="240"/>
        <w:rPr>
          <w:lang w:val="el" w:eastAsia="el"/>
        </w:rPr>
      </w:pPr>
      <w:r>
        <w:rPr>
          <w:b/>
          <w:bCs/>
          <w:lang w:val="el" w:eastAsia="el"/>
        </w:rPr>
        <w:t>Αριθ. ΦΕΚ: 3537</w:t>
      </w:r>
    </w:p>
    <w:p>
      <w:pPr>
        <w:spacing w:before="240" w:after="240"/>
        <w:rPr>
          <w:lang w:val="el" w:eastAsia="el"/>
        </w:rPr>
      </w:pPr>
      <w:r>
        <w:rPr>
          <w:b/>
          <w:bCs/>
          <w:lang w:val="el" w:eastAsia="el"/>
        </w:rPr>
        <w:t>Αθήνα, 3 Αυγούστου 2020</w:t>
      </w:r>
    </w:p>
    <w:p>
      <w:pPr>
        <w:spacing w:before="240" w:after="240"/>
        <w:rPr>
          <w:lang w:val="el" w:eastAsia="el"/>
        </w:rPr>
      </w:pPr>
      <w:r>
        <w:rPr>
          <w:b/>
          <w:bCs/>
          <w:lang w:val="el" w:eastAsia="el"/>
        </w:rPr>
        <w:t>Α.1190</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 Τηλέφωνο</w:t>
      </w:r>
    </w:p>
    <w:p>
      <w:pPr>
        <w:spacing w:before="240" w:after="240"/>
        <w:rPr>
          <w:lang w:val="el" w:eastAsia="el"/>
        </w:rPr>
      </w:pPr>
      <w:r>
        <w:rPr>
          <w:lang w:val="el" w:eastAsia="el"/>
        </w:rPr>
        <w:t>Καρ. Σερβίας 10</w:t>
      </w:r>
    </w:p>
    <w:p>
      <w:pPr>
        <w:spacing w:before="240" w:after="240"/>
        <w:rPr>
          <w:lang w:val="el" w:eastAsia="el"/>
        </w:rPr>
      </w:pPr>
      <w:r>
        <w:rPr>
          <w:b/>
          <w:bCs/>
          <w:lang w:val="el" w:eastAsia="el"/>
        </w:rPr>
        <w:t xml:space="preserve">ΠΡΟΣ : </w:t>
      </w:r>
      <w:r>
        <w:rPr>
          <w:lang w:val="el" w:eastAsia="el"/>
        </w:rPr>
        <w:t>Όπως Πίνακας Διανομής</w:t>
      </w:r>
    </w:p>
    <w:p>
      <w:pPr>
        <w:spacing w:before="240" w:after="240"/>
        <w:rPr>
          <w:lang w:val="el" w:eastAsia="el"/>
        </w:rPr>
      </w:pPr>
      <w:r>
        <w:rPr>
          <w:lang w:val="el" w:eastAsia="el"/>
        </w:rPr>
        <w:t>Fax</w:t>
      </w:r>
    </w:p>
    <w:p>
      <w:pPr>
        <w:spacing w:before="240" w:after="240"/>
        <w:rPr>
          <w:lang w:val="el" w:eastAsia="el"/>
        </w:rPr>
      </w:pPr>
      <w:r>
        <w:rPr>
          <w:lang w:val="el" w:eastAsia="el"/>
        </w:rPr>
        <w:t>E-Mail</w:t>
      </w:r>
    </w:p>
    <w:p>
      <w:pPr>
        <w:spacing w:before="240" w:after="240"/>
        <w:rPr>
          <w:lang w:val="el" w:eastAsia="el"/>
        </w:rPr>
      </w:pPr>
      <w:r>
        <w:rPr>
          <w:lang w:val="el" w:eastAsia="el"/>
        </w:rPr>
        <w:t>Url</w:t>
      </w:r>
    </w:p>
    <w:p>
      <w:pPr>
        <w:spacing w:before="240" w:after="240"/>
        <w:rPr>
          <w:lang w:val="el" w:eastAsia="el"/>
        </w:rPr>
      </w:pPr>
      <w:r>
        <w:rPr>
          <w:lang w:val="el" w:eastAsia="el"/>
        </w:rPr>
        <w:t>101 84 Αθήνα</w:t>
      </w:r>
    </w:p>
    <w:p>
      <w:pPr>
        <w:spacing w:before="240" w:after="240"/>
        <w:rPr>
          <w:lang w:val="el" w:eastAsia="el"/>
        </w:rPr>
      </w:pPr>
      <w:r>
        <w:rPr>
          <w:lang w:val="el" w:eastAsia="el"/>
        </w:rPr>
        <w:t>2132122400</w:t>
      </w:r>
    </w:p>
    <w:p>
      <w:pPr>
        <w:spacing w:before="240" w:after="240"/>
        <w:rPr>
          <w:lang w:val="el" w:eastAsia="el"/>
        </w:rPr>
      </w:pPr>
      <w:r>
        <w:rPr>
          <w:lang w:val="el" w:eastAsia="el"/>
        </w:rPr>
        <w:t>210 69.87.469</w:t>
      </w:r>
    </w:p>
    <w:p>
      <w:pPr>
        <w:spacing w:before="240" w:after="240"/>
        <w:rPr>
          <w:lang w:val="el" w:eastAsia="el"/>
        </w:rPr>
      </w:pPr>
      <w:r>
        <w:rPr>
          <w:lang w:val="el" w:eastAsia="el"/>
        </w:rPr>
        <w:t>210 36.45.413</w:t>
      </w:r>
    </w:p>
    <w:p>
      <w:pPr>
        <w:spacing w:before="240" w:after="240"/>
        <w:rPr>
          <w:lang w:val="el" w:eastAsia="el"/>
        </w:rPr>
      </w:pPr>
      <w:r>
        <w:rPr>
          <w:lang w:val="el" w:eastAsia="el"/>
        </w:rPr>
        <w:t>210 69.87.408</w:t>
      </w:r>
    </w:p>
    <w:p>
      <w:pPr>
        <w:spacing w:before="240" w:after="240"/>
        <w:rPr>
          <w:lang w:val="el" w:eastAsia="el"/>
        </w:rPr>
      </w:pPr>
      <w:hyperlink r:id="rId4" w:history="1">
        <w:r>
          <w:rPr>
            <w:rStyle w:val="Hyperlink"/>
            <w:color w:val="0000EE"/>
            <w:u w:color="0000EE"/>
            <w:lang w:val="el" w:eastAsia="el"/>
          </w:rPr>
          <w:t>deef.a@aade.gr</w:t>
        </w:r>
      </w:hyperlink>
    </w:p>
    <w:p>
      <w:pPr>
        <w:spacing w:before="240" w:after="240"/>
        <w:rPr>
          <w:lang w:val="el" w:eastAsia="el"/>
        </w:rPr>
      </w:pPr>
      <w:hyperlink r:id="rId5" w:history="1">
        <w:r>
          <w:rPr>
            <w:rStyle w:val="Hyperlink"/>
            <w:color w:val="0000EE"/>
            <w:u w:color="0000EE"/>
            <w:lang w:val="el" w:eastAsia="el"/>
          </w:rPr>
          <w:t>vat-customs@2001.syzefxis.gov.gr</w:t>
        </w:r>
      </w:hyperlink>
      <w:hyperlink r:id="rId6" w:history="1">
        <w:r>
          <w:rPr>
            <w:rStyle w:val="Hyperlink"/>
            <w:color w:val="0000EE"/>
            <w:u w:color="0000EE"/>
            <w:lang w:val="el" w:eastAsia="el"/>
          </w:rPr>
          <w:t>www.aade.gr</w:t>
        </w:r>
      </w:hyperlink>
    </w:p>
    <w:p>
      <w:pPr>
        <w:spacing w:before="240" w:after="240"/>
        <w:rPr>
          <w:lang w:val="el" w:eastAsia="el"/>
        </w:rPr>
      </w:pPr>
      <w:r>
        <w:rPr>
          <w:lang w:val="el" w:eastAsia="el"/>
        </w:rPr>
        <w:t xml:space="preserve">3. </w:t>
      </w:r>
      <w:r>
        <w:rPr>
          <w:b/>
          <w:bCs/>
          <w:lang w:val="el" w:eastAsia="el"/>
        </w:rPr>
        <w:t>ΥΠΟΥΡΓΕΙΟ ΝΑΥΤΙΛΙΑΣ &amp; ΝΗΣΙΩΤΙΚΗΣ ΠΟΛΙΤΙΚΗΣ</w:t>
      </w:r>
    </w:p>
    <w:p>
      <w:pPr>
        <w:spacing w:before="240" w:after="240"/>
        <w:rPr>
          <w:lang w:val="el" w:eastAsia="el"/>
        </w:rPr>
      </w:pPr>
      <w:r>
        <w:rPr>
          <w:b/>
          <w:bCs/>
          <w:lang w:val="el" w:eastAsia="el"/>
        </w:rPr>
        <w:t xml:space="preserve">Θέμα: </w:t>
      </w:r>
      <w:r>
        <w:rPr>
          <w:lang w:val="el" w:eastAsia="el"/>
        </w:rPr>
        <w:t>Τροποποίηση των διατάξεων της ΠΟΛ 1177/2018 «Όροι και προϋποθέσεις για τη διενέργεια δραστηριότητας των πλοίων κυρίως στην ανοιχτή θάλασσα για σκοπούς χορήγησης απαλλαγών από το φόρο προστιθέμενης αξίας».</w:t>
      </w:r>
    </w:p>
    <w:p>
      <w:pPr>
        <w:spacing w:before="240" w:after="240"/>
        <w:rPr>
          <w:lang w:val="el" w:eastAsia="el"/>
        </w:rPr>
      </w:pPr>
      <w:r>
        <w:rPr>
          <w:b/>
          <w:bCs/>
          <w:lang w:val="el" w:eastAsia="el"/>
        </w:rPr>
        <w:t>Α Π Ο Φ Α Σ ΗΟ ΥΦΥΠΟΥΡΓΟΣ ΟΙΚΟΝΟΜΙΚΩΝ ΚΑΙ Ο ΥΠΟΥΡΓΟΣ ΝΑΥΤΙΛΙΑΣ &amp; ΝΗΣΙΩΤΙΚΗΣ ΠΟΛΙΤΙΚΗΣ</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1. Τις διατάξεις της περ. α΄της παρ. 1 του άρθρου 27 του Κώδικα ΦΠΑ (κύρωση με το ν.2859/2000 – ΦΕΚ Α΄ 248/07.11.2000), όπως ισχύει, σύμφωνα με το οποίο με κοινές αποφάσεις των Υπουργών Οικονομικών και Ναυτιλίας και Νησιωτικής Πολιτικής ορίζονται οι όροι και οι προϋποθέσεις και κάθε αναγκαία λεπτομέρεια για την απόδειξη της διενέργειας δραστηριότητας κυρίως στην ανοικτή θάλασσα ως προϋπόθεση για την απαλλαγή των πλοίων που προορίζονται για την ναυσιπλοϊα ανοικτής θαλάσσης, καθώς και τις λοιπές διατάξεις του Κώδικα αυτού.</w:t>
      </w:r>
    </w:p>
    <w:p>
      <w:pPr>
        <w:spacing w:before="240" w:after="240"/>
        <w:rPr>
          <w:lang w:val="el" w:eastAsia="el"/>
        </w:rPr>
      </w:pPr>
      <w:r>
        <w:rPr>
          <w:lang w:val="el" w:eastAsia="el"/>
        </w:rPr>
        <w:t>2. Τις διατάξεις της κοινής υπουργικής απόφασης της Υφυπουργού Οικονομικών και του Υπουργού Ναυτιλίας και Νησιωτικής Πολιτικής με αριθμ. ΠΟΛ 1177/2018 (ΦΕΚ Β' 4420/04-10-2018) «Όροι και προϋποθέσεις για τη διενέργεια δραστηριότητας των πλοίων κυρίως στην ανοιχτή θάλασσα για σκοπούς χορήγησης απαλλαγών από το φόρο προστιθέμενης αξίας», όπως ισχύει.</w:t>
      </w:r>
    </w:p>
    <w:p>
      <w:pPr>
        <w:spacing w:before="240" w:after="240"/>
        <w:rPr>
          <w:lang w:val="el" w:eastAsia="el"/>
        </w:rPr>
      </w:pPr>
      <w:r>
        <w:rPr>
          <w:lang w:val="el" w:eastAsia="el"/>
        </w:rPr>
        <w:t>3. Τις διατάξεις του άρθρου 90 του κώδικα νομοθεσίας για την Κυβέρνηση και τα κυβερνητικά όργανα, ο οποίος κυρώθηκε με το άρθρο πρώτο του π.δ. 63/2005 (ΦΕΚ Α΄ 98/22.4.2005) «Κωδικοποίηση της νομοθεσίας για την Κυβέρνηση και τα Κυβερνητικά Όργανα».</w:t>
      </w:r>
    </w:p>
    <w:p>
      <w:pPr>
        <w:spacing w:before="240" w:after="240"/>
        <w:rPr>
          <w:lang w:val="el" w:eastAsia="el"/>
        </w:rPr>
      </w:pPr>
      <w:r>
        <w:rPr>
          <w:lang w:val="el" w:eastAsia="el"/>
        </w:rPr>
        <w:t>4. Το π.δ. 70/2015 (Α’ 114)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w:t>
      </w:r>
    </w:p>
    <w:p>
      <w:pPr>
        <w:spacing w:before="240" w:after="240"/>
        <w:rPr>
          <w:lang w:val="el" w:eastAsia="el"/>
        </w:rPr>
      </w:pPr>
      <w:r>
        <w:rPr>
          <w:lang w:val="el" w:eastAsia="el"/>
        </w:rPr>
        <w:t>5. Το π.δ. 142/2017 (Α΄181) «Οργανισμός του Υπουργείου Οικονομικών», όπως ισχύει.</w:t>
      </w:r>
    </w:p>
    <w:p>
      <w:pPr>
        <w:spacing w:before="240" w:after="240"/>
        <w:rPr>
          <w:lang w:val="el" w:eastAsia="el"/>
        </w:rPr>
      </w:pPr>
      <w:r>
        <w:rPr>
          <w:lang w:val="el" w:eastAsia="el"/>
        </w:rPr>
        <w:t>6. Το π.δ. 13/2018 (Α΄26) «Οργανισμός Υπουργείου Ναυτιλίας και Νησιωτικής Πολιτικής».</w:t>
      </w:r>
    </w:p>
    <w:p>
      <w:pPr>
        <w:spacing w:before="240" w:after="240"/>
        <w:rPr>
          <w:lang w:val="el" w:eastAsia="el"/>
        </w:rPr>
      </w:pPr>
      <w:r>
        <w:rPr>
          <w:lang w:val="el" w:eastAsia="el"/>
        </w:rPr>
        <w:t>7. Το π.δ. 83/2019 (Α΄121)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8. Την απόφαση του Πρωθυπουργού Υ2/9.7.2019 (Β΄ 2901) «Σύσταση θέσεων Αναπληρωτή Υπουργού και Υφυπουργών».</w:t>
      </w:r>
    </w:p>
    <w:p>
      <w:pPr>
        <w:spacing w:before="240" w:after="240"/>
        <w:rPr>
          <w:lang w:val="el" w:eastAsia="el"/>
        </w:rPr>
      </w:pPr>
      <w:r>
        <w:rPr>
          <w:lang w:val="el" w:eastAsia="el"/>
        </w:rPr>
        <w:t>9. Το άρθρο 1 του π.δ. 84/2019, με το οποίο συστάθηκε στο Υπουυργείο Οικονομικών Γενική Γραμματεία Φορολογικής Πολιτικής και Δημόσιας Περιουσίας.</w:t>
      </w:r>
    </w:p>
    <w:p>
      <w:pPr>
        <w:spacing w:before="240" w:after="240"/>
        <w:rPr>
          <w:lang w:val="el" w:eastAsia="el"/>
        </w:rPr>
      </w:pPr>
      <w:r>
        <w:rPr>
          <w:lang w:val="el" w:eastAsia="el"/>
        </w:rPr>
        <w:t>10. Την 339/18.7.2019 (Β΄ 3051/26.7.2019) απόφαση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lang w:val="el" w:eastAsia="el"/>
        </w:rPr>
        <w:t>11. Τις διατάξεις 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(ΦΕΚ Α΄94/27.5.2016) και ειδικότερα των άρθρων 1,2,13,14,17 και 41, όπως ισχύουν.</w:t>
      </w:r>
    </w:p>
    <w:p>
      <w:pPr>
        <w:spacing w:before="240" w:after="240"/>
        <w:rPr>
          <w:lang w:val="el" w:eastAsia="el"/>
        </w:rPr>
      </w:pPr>
      <w:r>
        <w:rPr>
          <w:lang w:val="el" w:eastAsia="el"/>
        </w:rPr>
        <w:t>12. Της αριθ. Δ. ΟΡΓ. Α 1036960 ΕΞ/10.03.2017 απόφασης του Διοικητή της Ανεξάρτητης Αρχής Δημοσίων Εσόδων «Οργανισμός της Ανεξάρτητης Αρχής Δημοσίων Εσόδων (Α.Α.Δ.Ε)» (ΦΕΚ Β΄968/22.03.2017), όπως συμπληρώθηκε τροποποιήθηκε και ισχύει.</w:t>
      </w:r>
    </w:p>
    <w:p>
      <w:pPr>
        <w:spacing w:before="240" w:after="240"/>
        <w:rPr>
          <w:lang w:val="el" w:eastAsia="el"/>
        </w:rPr>
      </w:pPr>
      <w:r>
        <w:rPr>
          <w:lang w:val="el" w:eastAsia="el"/>
        </w:rPr>
        <w:t>13. Την ανάγκη τροποποίησης των μεταβατικών διατάξεων της απόφασης ΠΟΛ. 1177/2018 λόγω της εξαιρετικά επείγουσας και απρόβλεπτης ανάγκης για την αντιμετώπιση των αρνητικών συνεπειών λόγω της εμφάνισης του κορωνοϊού COVID-19.</w:t>
      </w:r>
    </w:p>
    <w:p>
      <w:pPr>
        <w:spacing w:before="240" w:after="240"/>
        <w:rPr>
          <w:lang w:val="el" w:eastAsia="el"/>
        </w:rPr>
      </w:pPr>
      <w:r>
        <w:rPr>
          <w:lang w:val="el" w:eastAsia="el"/>
        </w:rPr>
        <w:t>14. 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Τροποποίηση διατάξεων της ΠΟΛ.1177/2018</w:t>
      </w:r>
    </w:p>
    <w:p>
      <w:pPr>
        <w:spacing w:before="240" w:after="240"/>
        <w:rPr>
          <w:lang w:val="el" w:eastAsia="el"/>
        </w:rPr>
      </w:pPr>
      <w:r>
        <w:rPr>
          <w:lang w:val="el" w:eastAsia="el"/>
        </w:rPr>
        <w:t>Το άρθρο 7 της ΠΟΛ.1177/18 αντικαθίσταται ως ακολούθως :</w:t>
      </w:r>
    </w:p>
    <w:p>
      <w:pPr>
        <w:spacing w:before="240" w:after="240"/>
        <w:rPr>
          <w:lang w:val="el" w:eastAsia="el"/>
        </w:rPr>
      </w:pPr>
      <w:r>
        <w:rPr>
          <w:lang w:val="el" w:eastAsia="el"/>
        </w:rPr>
        <w:t>«Άρθρο 7</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1. Για την ημερολογιακή περίοδο από 01.04.2018 έως 31.12.2020 και για τις χορηγηθείσες απαλλαγές της υποπερίπτωσης αα΄της περίπτωσης α΄της παρ.1 του άρθρου 27 του Κώδικα ΦΠΑ εντός της περιόδου αυτής θεωρούνται ως πλοία που διενεργούν δραστηριότητα κυρίως στην ανοιτή θάλασσα τα πλοία της περ.(i) της παρ.1 του άρθρου 27 που διενήργησαν πλόες στην ανοιχτή θάλασσα, κατά την έννοια της παραγράφου 1 του άρθρου 2 της παρούσας.</w:t>
      </w:r>
    </w:p>
    <w:p>
      <w:pPr>
        <w:spacing w:before="240" w:after="240"/>
        <w:rPr>
          <w:lang w:val="el" w:eastAsia="el"/>
        </w:rPr>
      </w:pPr>
      <w:r>
        <w:rPr>
          <w:lang w:val="el" w:eastAsia="el"/>
        </w:rPr>
        <w:t>2. Οι υποκείμενοι στο φόρο υποχρεούνται να τηρούν στο αρχείο τους δικαιολογητικά για την απόδειξη της διενέργειας δραστηριότητας πλόων στην ανοιχτή θάλασσα.</w:t>
      </w:r>
    </w:p>
    <w:p>
      <w:pPr>
        <w:spacing w:before="240" w:after="240"/>
        <w:rPr>
          <w:lang w:val="el" w:eastAsia="el"/>
        </w:rPr>
      </w:pPr>
      <w:r>
        <w:rPr>
          <w:lang w:val="el" w:eastAsia="el"/>
        </w:rPr>
        <w:t>3. Δεν διενεργούν δραστηριότητα στην ανοιχτή θάλασσα και δεν δικαιούνται των ανωτέρω απαλλαγών για την ως άνω περίοδο τα πλοία που αναφέρονται στις περιπτώσεις β΄έως και θ΄της παρ. 4 του άρθρου 3 της απόφασης ΠΟΛ.1177/2018. Τα πλοία που δραστηριοποιούνται αποκλειστικά ως ημερόπλοια του ν.4256/2014 θεωρείται ότι δικαιούνται των ως άνω απαλλαγών εάν από τη δήλωση περ.δ΄της παρ.2 του άρθρου 12 του ν.4256/2014 προκύπτει ότι διενεργούν πλόες στην ανοιχτή θάλασσα.</w:t>
      </w:r>
    </w:p>
    <w:p>
      <w:pPr>
        <w:spacing w:before="240" w:after="240"/>
        <w:rPr>
          <w:lang w:val="el" w:eastAsia="el"/>
        </w:rPr>
      </w:pPr>
      <w:r>
        <w:rPr>
          <w:lang w:val="el" w:eastAsia="el"/>
        </w:rPr>
        <w:t>Στην περίπτωση που ο υποκείμενος στο φόρο εκμεταλλευτής πλοίου που δραστηριοποιείται αποκλειστικά ως ημερόπλοιο του ν.4256/2014 είναι λήπτης φορολογικού στοιχείου από προμηθευτή αγαθών ή υπηρεσιών το οποίο δεν επιβαρύνεται με ΦΠΑ εφαρμοζομένων των ως άνω απαλλαγών, τεκμαίρεται ότι έχει δηλώσει στον ανωτέρω προμηθευτή ότι διενεργεί πλόες στην ανοιχτή θάλασσα, φέρει το βάρος της ευθύνης για την απόδειξη της δραστηριότητας αυτής σε ενδεχόμενο έλεγχο από τις αρμόδιες ελεγκτικές υπηρεσίες της Α.Α.Δ.Ε, ενώ έχει υποχρέωση καταβολής του φόρου που αναλογεί στις πράξεις αυτές εφόσον η δραστηριότητα αυτή δεν αποδεικνύεται.»</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b/>
          <w:bCs/>
          <w:lang w:val="el" w:eastAsia="el"/>
        </w:rPr>
        <w:t xml:space="preserve">Ο ΥΠΟΥΡΓΟΣ ΝΑΥΤΙΛΙΑΣ &amp; </w:t>
      </w:r>
    </w:p>
    <w:p>
      <w:pPr>
        <w:spacing w:before="240" w:after="240"/>
        <w:rPr>
          <w:lang w:val="el" w:eastAsia="el"/>
        </w:rPr>
      </w:pPr>
      <w:r>
        <w:rPr>
          <w:b/>
          <w:bCs/>
          <w:lang w:val="el" w:eastAsia="el"/>
        </w:rPr>
        <w:t>ΝΗΣΙΩΤΙΚΗΣ ΠΟΛΙΤΙΚΗΣΙΩΑΝΝΗΣ ΠΛΑΚΙΩΤΑΚΗΣ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μόνο οι αριθμ. 3 έως 6.</w:t>
      </w:r>
    </w:p>
    <w:p>
      <w:pPr>
        <w:spacing w:before="240" w:after="240"/>
        <w:rPr>
          <w:lang w:val="el" w:eastAsia="el"/>
        </w:rPr>
      </w:pPr>
      <w:r>
        <w:rPr>
          <w:lang w:val="el" w:eastAsia="el"/>
        </w:rPr>
        <w:t>2. Αποδέκτες Πίνακα Δ΄</w:t>
      </w:r>
    </w:p>
    <w:p>
      <w:pPr>
        <w:spacing w:before="240" w:after="240"/>
        <w:rPr>
          <w:lang w:val="el" w:eastAsia="el"/>
        </w:rPr>
      </w:pPr>
      <w:r>
        <w:rPr>
          <w:lang w:val="el" w:eastAsia="el"/>
        </w:rPr>
        <w:t>3. Διεύθυνση Στρατηγικής Τεχνολογιών Πληροφορικής (ΔΙ.Σ.ΤΕ.ΠΛ.) για ανάρτηση στην ιστοσελίδα της</w:t>
      </w:r>
    </w:p>
    <w:p>
      <w:pPr>
        <w:spacing w:before="240" w:after="240"/>
        <w:rPr>
          <w:lang w:val="el" w:eastAsia="el"/>
        </w:rPr>
      </w:pPr>
      <w:r>
        <w:rPr>
          <w:lang w:val="el" w:eastAsia="el"/>
        </w:rPr>
        <w:t>ΑΑΔΕ και την Ηλεκτρονική Βιβλιοθήκη της ΑΑΔΕ.</w:t>
      </w:r>
    </w:p>
    <w:p>
      <w:pPr>
        <w:spacing w:before="240" w:after="240"/>
        <w:rPr>
          <w:lang w:val="el" w:eastAsia="el"/>
        </w:rPr>
      </w:pPr>
      <w:r>
        <w:rPr>
          <w:b/>
          <w:bCs/>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1182"/>
        <w:gridCol w:w="1679"/>
        <w:gridCol w:w="52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μόνο οι αριθ. 1 και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μόνο οι αριθμ. 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αριθ.4 περ. η΄, 10, 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μόνο ο αριθ.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lang w:val="el" w:eastAsia="el"/>
        </w:rPr>
        <w:t>13. Γραφείο Υπουργού Ναυτιλίας και Νησιωτικής Πολιτικής.</w:t>
      </w:r>
    </w:p>
    <w:p>
      <w:pPr>
        <w:spacing w:before="240" w:after="240"/>
        <w:rPr>
          <w:lang w:val="el" w:eastAsia="el"/>
        </w:rPr>
      </w:pPr>
      <w:r>
        <w:rPr>
          <w:lang w:val="el" w:eastAsia="el"/>
        </w:rPr>
        <w:t>14. Γραφείο Υπουργού Οικονομικών</w:t>
      </w:r>
    </w:p>
    <w:p>
      <w:pPr>
        <w:spacing w:before="240" w:after="240"/>
        <w:rPr>
          <w:lang w:val="el" w:eastAsia="el"/>
        </w:rPr>
      </w:pPr>
      <w:r>
        <w:rPr>
          <w:lang w:val="el" w:eastAsia="el"/>
        </w:rPr>
        <w:t>15. Γραφείο Υφυπουργού Οικονομικών.</w:t>
      </w:r>
    </w:p>
    <w:p>
      <w:pPr>
        <w:spacing w:before="240" w:after="240"/>
        <w:rPr>
          <w:lang w:val="el" w:eastAsia="el"/>
        </w:rPr>
      </w:pPr>
      <w:r>
        <w:rPr>
          <w:lang w:val="el" w:eastAsia="el"/>
        </w:rPr>
        <w:t>16. Γραφείο Γεν. Γραμματέα Οικονομικής Πολιτικής.</w:t>
      </w:r>
    </w:p>
    <w:p>
      <w:pPr>
        <w:spacing w:before="240" w:after="240"/>
        <w:rPr>
          <w:lang w:val="el" w:eastAsia="el"/>
        </w:rPr>
      </w:pPr>
      <w:r>
        <w:rPr>
          <w:lang w:val="el" w:eastAsia="el"/>
        </w:rPr>
        <w:t>17. Γραφείο Γεν. Γραμματέα Πληρ. Συστημάτων.</w:t>
      </w:r>
    </w:p>
    <w:p>
      <w:pPr>
        <w:spacing w:before="240" w:after="240"/>
        <w:rPr>
          <w:lang w:val="el" w:eastAsia="el"/>
        </w:rPr>
      </w:pPr>
      <w:r>
        <w:rPr>
          <w:lang w:val="el" w:eastAsia="el"/>
        </w:rPr>
        <w:t>18. Γραφείο Γεν. Γραμματέα Φορολογικής Πολιτικής και Δημόσιας Περιουσίας.</w:t>
      </w:r>
    </w:p>
    <w:p>
      <w:pPr>
        <w:spacing w:before="240" w:after="240"/>
        <w:rPr>
          <w:lang w:val="el" w:eastAsia="el"/>
        </w:rPr>
      </w:pPr>
      <w:r>
        <w:rPr>
          <w:lang w:val="el" w:eastAsia="el"/>
        </w:rPr>
        <w:t>19. Διεύθυνση Φορολογικής Πολιτικής.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Διοικητού ΑΑΔΕ.</w:t>
      </w:r>
    </w:p>
    <w:p>
      <w:pPr>
        <w:spacing w:before="240" w:after="240"/>
        <w:rPr>
          <w:lang w:val="el" w:eastAsia="el"/>
        </w:rPr>
      </w:pPr>
      <w:r>
        <w:rPr>
          <w:lang w:val="el" w:eastAsia="el"/>
        </w:rPr>
        <w:t>2. Γραφείο κ. κ. Γενικών Διευθυντών.</w:t>
      </w:r>
    </w:p>
    <w:p>
      <w:pPr>
        <w:spacing w:before="240" w:after="240"/>
        <w:rPr>
          <w:lang w:val="el" w:eastAsia="el"/>
        </w:rPr>
      </w:pPr>
      <w:r>
        <w:rPr>
          <w:lang w:val="el" w:eastAsia="el"/>
        </w:rPr>
        <w:t>3. ΔΕΕΦ – ΤΜΗΜΑ Α΄ ΦΠΑ.</w:t>
      </w:r>
    </w:p>
    <w:p>
      <w:pPr>
        <w:spacing w:before="240" w:after="240"/>
        <w:rPr>
          <w:lang w:val="el" w:eastAsia="el"/>
        </w:rPr>
      </w:pPr>
      <w:r>
        <w:rPr>
          <w:lang w:val="el" w:eastAsia="el"/>
        </w:rPr>
        <w:t>4. Δ/νση Ε.Φ.Κ και Φ.Π.Α – Τμήμα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ade.gr" TargetMode="External" /><Relationship Id="rId5" Type="http://schemas.openxmlformats.org/officeDocument/2006/relationships/hyperlink" Target="mailto:vat-customs@2001.syzefxis.gov.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