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207</w:t>
      </w:r>
    </w:p>
    <w:p>
      <w:pPr>
        <w:pStyle w:val="PreambelText"/>
        <w:spacing w:before="240" w:after="240"/>
        <w:rPr>
          <w:lang w:val="el" w:eastAsia="el"/>
        </w:rPr>
      </w:pPr>
      <w:r>
        <w:rPr>
          <w:b/>
          <w:bCs/>
          <w:lang w:val="el" w:eastAsia="el"/>
        </w:rPr>
        <w:t>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ως και Αύγουστο 2020.</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και ειδικότερα της παρ. 3 αυτού.</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Κανονισμό (ΕΕ) υπ’ αρ.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pStyle w:val="PreambelText"/>
        <w:spacing w:before="240" w:after="240"/>
        <w:rPr>
          <w:lang w:val="el" w:eastAsia="el"/>
        </w:rPr>
      </w:pPr>
      <w:r>
        <w:rPr>
          <w:lang w:val="el" w:eastAsia="el"/>
        </w:rPr>
        <w:t>5. Την Ανακοίνωση της Ευρωπαϊκής Επιτροπής (ΕΕ) υπ’ αρ.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PreambelText"/>
        <w:spacing w:before="240" w:after="240"/>
        <w:rPr>
          <w:lang w:val="el" w:eastAsia="el"/>
        </w:rPr>
      </w:pPr>
      <w:r>
        <w:rPr>
          <w:lang w:val="el" w:eastAsia="el"/>
        </w:rPr>
        <w:t>8. Το π.δ. 62/2020 «Διορισμός Αναπληρωτών Υπουργών και Υφυπουργών» (Α’ 155).</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τροποποιήθηκε με το άρθρο 2 του π.δ. 84/2019 (Α’ 123).</w:t>
      </w:r>
    </w:p>
    <w:p>
      <w:pPr>
        <w:pStyle w:val="PreambelText"/>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το οποίο κυρώθηκε με το άρθρο πρώτο του π.δ. 63/2005 (Α’ 98).</w:t>
      </w:r>
    </w:p>
    <w:p>
      <w:pPr>
        <w:pStyle w:val="PreambelText"/>
        <w:spacing w:before="240" w:after="240"/>
        <w:rPr>
          <w:lang w:val="el" w:eastAsia="el"/>
        </w:rPr>
      </w:pPr>
      <w:r>
        <w:rPr>
          <w:lang w:val="el" w:eastAsia="el"/>
        </w:rPr>
        <w:t>14. Tην υπό στοιχεία Y44/5.8.2020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15.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16.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17. Την υπ’ αρ. 1076/02.04.2020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18.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19. Την υπό στοιχεία 99659ΕΞ2020/9-9-2020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απόφασης δεν προκαλείται δαπάνη σε βάρος του κρατικού προϋπολογισμού οικονομικού έτους 2020, αποφασιζουμε: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 και υποβολή στοιχείων εσόδων</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Επιστρεπτέας Προκαταβολής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lang w:val="el" w:eastAsia="el"/>
        </w:rPr>
        <w:t>Oι Δημοτικές Επιχειρήσεις Ύδρευσης και Αποχέτευσης (Δ.Ε.Υ.Α.) και οι Οργανισμοί Λιμένων.</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Κατ’ εξαίρεση δύνανται να υποβάλλουν εκδήλωση ενδιαφέροντος 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εφόσον:</w:t>
      </w:r>
    </w:p>
    <w:p>
      <w:pPr>
        <w:pStyle w:val="StructureList1"/>
        <w:spacing w:before="120" w:after="0"/>
        <w:rPr>
          <w:lang w:val="el" w:eastAsia="el"/>
        </w:rPr>
      </w:pPr>
      <w:r>
        <w:rPr>
          <w:lang w:val="el" w:eastAsia="el"/>
        </w:rPr>
        <w:t>i)</w:t>
      </w:r>
      <w:r>
        <w:rPr>
          <w:lang w:val="en" w:eastAsia="en"/>
        </w:rPr>
        <w:tab/>
      </w:r>
      <w:r>
        <w:rPr>
          <w:lang w:val="el" w:eastAsia="el"/>
        </w:rPr>
        <w:t>είτε έχουν ενεργό κύριο ΚΑΔ στις 20.03.2020 έναν από τους περιγραφόμενους στο συνημμένο πίνακα Ι, ο οποίος και αποτελεί αναπόσπαστο μέρος της παρούσας, ή των οποίων τα ακαθάριστα έσοδα ενεργού κατά την 20.03.2020 ΚΑΔ δευτερεύουσας δραστηριότητας από τους περιγραφόμενους στο συνημμένο πίνακα 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w:t>
      </w:r>
    </w:p>
    <w:p>
      <w:pPr>
        <w:pStyle w:val="StructureList1"/>
        <w:spacing w:before="120" w:after="0"/>
        <w:rPr>
          <w:lang w:val="el" w:eastAsia="el"/>
        </w:rPr>
      </w:pPr>
      <w:r>
        <w:rPr>
          <w:lang w:val="el" w:eastAsia="el"/>
        </w:rPr>
        <w:t>ii)</w:t>
      </w:r>
      <w:r>
        <w:rPr>
          <w:lang w:val="en" w:eastAsia="en"/>
        </w:rPr>
        <w:tab/>
      </w:r>
      <w:r>
        <w:rPr>
          <w:lang w:val="el" w:eastAsia="el"/>
        </w:rPr>
        <w:t>είτε έχουν την έδρα τους στο Δήμο Μεσαπείων και στις Δημοτικές Ενότητες Νέας Αρτάκης και Ληλαντίων του Δήμου Χαλκιδέων, ανεξαρτήτως ΚΑΔ.</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Αυγούστου 2020.</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είναι σε αδράνεια από τον Απρίλιο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pStyle w:val="StructureList1"/>
        <w:spacing w:before="120" w:after="0"/>
        <w:rPr>
          <w:lang w:val="el" w:eastAsia="el"/>
        </w:rPr>
      </w:pPr>
      <w:r>
        <w:rPr>
          <w:lang w:val="el" w:eastAsia="el"/>
        </w:rPr>
        <w:t>δδ)</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οι επιχειρήσεις της προηγούμενης παραγράφου οι οποίες:</w:t>
      </w:r>
    </w:p>
    <w:p>
      <w:pPr>
        <w:pStyle w:val="StructureList1"/>
        <w:spacing w:before="120" w:after="0"/>
        <w:rPr>
          <w:lang w:val="el" w:eastAsia="el"/>
        </w:rPr>
      </w:pPr>
      <w:r>
        <w:rPr>
          <w:lang w:val="el" w:eastAsia="el"/>
        </w:rPr>
        <w:t>α)</w:t>
      </w:r>
      <w:r>
        <w:rPr>
          <w:lang w:val="en" w:eastAsia="en"/>
        </w:rPr>
        <w:tab/>
      </w:r>
      <w:r>
        <w:rPr>
          <w:lang w:val="el" w:eastAsia="el"/>
        </w:rPr>
        <w:t>Είτε δεν ήταν προβληματικές στις 31 Δεκεμβρίου 2019 κατά την έννοια του Κανονισμού υπ’ αρ.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 651/2014, δύναται να υποβάλλουν εκδήλωση ενδιαφέροντος ακόμη και αν ήταν προβληματικές στις 31/12/2019, υπό την προϋπόθεση ότι:</w:t>
      </w:r>
    </w:p>
    <w:p>
      <w:pPr>
        <w:pStyle w:val="StructureList1"/>
        <w:spacing w:before="120" w:after="0"/>
        <w:rPr>
          <w:lang w:val="el" w:eastAsia="el"/>
        </w:rPr>
      </w:pPr>
      <w:r>
        <w:rPr>
          <w:lang w:val="el" w:eastAsia="el"/>
        </w:rPr>
        <w:t>αα)</w:t>
      </w:r>
      <w:r>
        <w:rPr>
          <w:lang w:val="en" w:eastAsia="en"/>
        </w:rPr>
        <w:tab/>
      </w:r>
      <w:r>
        <w:rPr>
          <w:lang w:val="el" w:eastAsia="el"/>
        </w:rPr>
        <w:t>δεν υπάγονται σε συλλογική πτωχευτική διαδικασία και</w:t>
      </w:r>
    </w:p>
    <w:p>
      <w:pPr>
        <w:pStyle w:val="StructureList1"/>
        <w:spacing w:before="120" w:after="0"/>
        <w:rPr>
          <w:lang w:val="el" w:eastAsia="el"/>
        </w:rPr>
      </w:pPr>
      <w:r>
        <w:rPr>
          <w:lang w:val="el" w:eastAsia="el"/>
        </w:rPr>
        <w:t>ββ)</w:t>
      </w:r>
      <w:r>
        <w:rPr>
          <w:lang w:val="en" w:eastAsia="en"/>
        </w:rPr>
        <w:tab/>
      </w:r>
      <w:r>
        <w:rPr>
          <w:lang w:val="el" w:eastAsia="el"/>
        </w:rPr>
        <w:t>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p>
    <w:p>
      <w:pPr>
        <w:pStyle w:val="StructureList1"/>
        <w:spacing w:before="120" w:after="0"/>
        <w:rPr>
          <w:lang w:val="el" w:eastAsia="el"/>
        </w:rPr>
      </w:pPr>
      <w:r>
        <w:rPr>
          <w:lang w:val="el" w:eastAsia="el"/>
        </w:rPr>
        <w:t>β)</w:t>
      </w:r>
      <w:r>
        <w:rPr>
          <w:lang w:val="en" w:eastAsia="en"/>
        </w:rPr>
        <w:tab/>
      </w:r>
      <w:r>
        <w:rPr>
          <w:lang w:val="el" w:eastAsia="el"/>
        </w:rPr>
        <w:t>Είτε πληρούν τις προϋποθέσεις του Κανονισμού υπ’ αρ. 1407/2013 (ΕΕ L351/1 της 24.12.2013) και δεν έχουν ήδη εξαντλήσει το τιθέμενο στον Κανονισμό ανώτατο όριο, για την τριετία 2018-2020.</w:t>
      </w:r>
    </w:p>
    <w:p>
      <w:pPr>
        <w:pStyle w:val="MainText"/>
        <w:spacing w:before="120" w:after="0"/>
        <w:rPr>
          <w:lang w:val="el" w:eastAsia="el"/>
        </w:rPr>
      </w:pPr>
      <w:r>
        <w:rPr>
          <w:b/>
          <w:bCs/>
          <w:lang w:val="el" w:eastAsia="el"/>
        </w:rPr>
        <w:t>3.</w:t>
      </w:r>
      <w:r>
        <w:rPr>
          <w:lang w:val="el" w:eastAsia="el"/>
        </w:rPr>
        <w:t xml:space="preserve"> Οι ενδιαφερόμενες επιχειρήσεις υποβάλλουν στην πλατφόρμα «myBusinessSupport» τα κατωτέρω στοιχεία:</w:t>
      </w:r>
    </w:p>
    <w:p>
      <w:pPr>
        <w:spacing w:before="240" w:after="240"/>
        <w:rPr>
          <w:lang w:val="el" w:eastAsia="el"/>
        </w:rPr>
      </w:pPr>
      <w:r>
        <w:rPr>
          <w:lang w:val="el" w:eastAsia="el"/>
        </w:rPr>
        <w:t>Α. Για τους μήνες Ιανουάριο έως και Αύγουστο 2020, α) 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lang w:val="el" w:eastAsia="el"/>
        </w:rPr>
        <w:t>β)</w:t>
      </w:r>
      <w:r>
        <w:rPr>
          <w:lang w:val="en" w:eastAsia="en"/>
        </w:rPr>
        <w:tab/>
      </w:r>
      <w:r>
        <w:rPr>
          <w:lang w:val="el" w:eastAsia="el"/>
        </w:rPr>
        <w:t>Επιχειρήσεις μη υποκείμενες σε ΦΠΑ, απαλλασσόμενες και ειδικών καθεστώτων ΦΠΑ, συμπληρώνουν αα) τα ακαθάριστα έσοδα διακριτά για κάθε μήνα, ββ) το σύνολο των ακαθαρίστων εσόδων (κωδ. 047 του εντύπου Ε3) του φορολογικού έτους 2019,</w:t>
      </w:r>
    </w:p>
    <w:p>
      <w:pPr>
        <w:pStyle w:val="StructureList1"/>
        <w:spacing w:before="120" w:after="0"/>
        <w:rPr>
          <w:lang w:val="el" w:eastAsia="el"/>
        </w:rPr>
      </w:pPr>
      <w:r>
        <w:rPr>
          <w:lang w:val="el" w:eastAsia="el"/>
        </w:rPr>
        <w:t>γγ)</w:t>
      </w:r>
      <w:r>
        <w:rPr>
          <w:lang w:val="en" w:eastAsia="en"/>
        </w:rPr>
        <w:tab/>
      </w:r>
      <w:r>
        <w:rPr>
          <w:lang w:val="el" w:eastAsia="el"/>
        </w:rPr>
        <w:t>το σύνολο των εξόδων του φορολογικού έτους 2019.</w:t>
      </w:r>
    </w:p>
    <w:p>
      <w:pPr>
        <w:spacing w:before="240" w:after="240"/>
        <w:rPr>
          <w:lang w:val="el" w:eastAsia="el"/>
        </w:rPr>
      </w:pPr>
      <w:r>
        <w:rPr>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lang w:val="el" w:eastAsia="el"/>
        </w:rPr>
        <w:t>Επιπροσθέτως, προ-συμπληρώνονται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lang w:val="el" w:eastAsia="el"/>
        </w:rPr>
        <w:t>Τα ως άνω υποβαλλόμενα στοιχεία δεν δύνανται να τροποποιούνται από την επιχείρηση μετά την οριστικοποίησή τους.</w:t>
      </w:r>
    </w:p>
    <w:p>
      <w:pPr>
        <w:spacing w:before="240" w:after="240"/>
        <w:rPr>
          <w:lang w:val="el" w:eastAsia="el"/>
        </w:rPr>
      </w:pPr>
      <w:r>
        <w:rPr>
          <w:lang w:val="el" w:eastAsia="el"/>
        </w:rPr>
        <w:t>Β. Για τους μήνες Σεπτέμβριο έως και Δεκέμβριο 2020, οι επιχειρήσεις, ανεξαρτήτως τύπου τηρούμενων βιβλίων, συμπληρώνουν τον κύκλο εργασιών ΦΠΑ ή τα ακαθάριστα έσοδα κάθε μήνα, κατά περίπτωση, από την τρίτη (3η) μέχρι τη δέκατη (10η) ημέρα του επόμενου μήνα.</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αυτής ή αποστέλλονται σε αυτή από άλλους δημόσιους και ιδιωτικούς φορείς. Ενδεικτικά, αυτά μπορεί να είναι, συγκριτικά στοιχεία εσόδων και δαπανών προηγούμενων περιόδων, όπως προκύπτουν από τις δηλώσεις των επιχειρήσεων.</w:t>
      </w:r>
    </w:p>
    <w:p>
      <w:pPr>
        <w:pStyle w:val="MainText"/>
        <w:spacing w:before="120" w:after="0"/>
        <w:rPr>
          <w:lang w:val="el" w:eastAsia="el"/>
        </w:rPr>
      </w:pPr>
      <w:r>
        <w:rPr>
          <w:b/>
          <w:bCs/>
          <w:lang w:val="el" w:eastAsia="el"/>
        </w:rPr>
        <w:t>5.</w:t>
      </w:r>
      <w:r>
        <w:rPr>
          <w:lang w:val="el" w:eastAsia="el"/>
        </w:rPr>
        <w:t xml:space="preserve"> 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lang w:val="el" w:eastAsia="el"/>
        </w:rPr>
        <w:t xml:space="preserve"> 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και υπολογισμός του ύψους ενίσχυσης.</w:t>
      </w:r>
    </w:p>
    <w:p>
      <w:pPr>
        <w:spacing w:before="240" w:after="240"/>
        <w:rPr>
          <w:lang w:val="el" w:eastAsia="el"/>
        </w:rPr>
      </w:pPr>
      <w:r>
        <w:rPr>
          <w:lang w:val="el" w:eastAsia="el"/>
        </w:rPr>
        <w:t>Επιπροσθέτως, ελέγχεται αυτοματοποιημένα και ως προϋπόθεση η δήλωση λογαριασμού-ΙΒΑΝ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7.</w:t>
      </w:r>
      <w:r>
        <w:rPr>
          <w:lang w:val="el" w:eastAsia="el"/>
        </w:rPr>
        <w:t xml:space="preserve"> Η εκδήλωση ενδιαφέροντος και τα ως άνω συνοδευτικά στοιχεία υποβάλλονται στην πλατφόρμα έως την 21η Σεπτεμβρίου 2020.</w:t>
      </w:r>
    </w:p>
    <w:p>
      <w:pPr>
        <w:pStyle w:val="MainText"/>
        <w:spacing w:before="120" w:after="0"/>
        <w:rPr>
          <w:lang w:val="el" w:eastAsia="el"/>
        </w:rPr>
      </w:pPr>
      <w:r>
        <w:rPr>
          <w:b/>
          <w:bCs/>
          <w:lang w:val="el" w:eastAsia="el"/>
        </w:rPr>
        <w:t>8.</w:t>
      </w:r>
      <w:r>
        <w:rPr>
          <w:lang w:val="el" w:eastAsia="el"/>
        </w:rPr>
        <w:t xml:space="preserve"> 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lang w:val="el" w:eastAsia="el"/>
        </w:rPr>
        <w:t xml:space="preserve"> Οι προϋποθέσεις υπαγωγής στο μέτρο της Επιστρεπτέας Προκαταβολής, η διαδικασία αίτησης και χορήγησης της ενίσχυσης, ο τρόπος υπολογισμού του ύψους της ενίσχυσης οι προϋποθέσεις και η διαδικασία επιστροφής της εν όλω ή εν μέρει, καθώς και κάθε άλλη σχετική λεπτομέρεια θα καθοριστούν με όμοια απόφαση η οποία θα εκδοθεί μετά την παρέλευση της προθεσμίας υποβολής των αιτημάτων της παρούσης.</w:t>
      </w:r>
    </w:p>
    <w:p>
      <w:pPr>
        <w:spacing w:before="240" w:after="240"/>
        <w:rPr>
          <w:lang w:val="el" w:eastAsia="el"/>
        </w:rPr>
      </w:pPr>
      <w:r>
        <w:rPr>
          <w:lang w:val="el" w:eastAsia="el"/>
        </w:rPr>
        <w:t>ΠΙΝΑΚΑΣ Ι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υποπερ. i της υποπερ. αα της περίπτωσης β της παρ. 1 του άρθρου 1.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ένδυσης, εξαρτημάτων ρουχισμού και άλλων ειδών από γουνόδερμα (εκτός καλυμάτων κεφαλής)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ένδυσης, εξαρτημάτων ρουχισμού από γουνόδερμα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 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 Υπηρεσίες που παρέχονται από καντίνες εργοστάσιων ή γραφείων (56.29.20.03), Υπηρεσίες που παρέχονται από σχολικές καντίνες (κυλικεία) (56.29.20.04), Υπηρεσίες που παρέχονται από φοιτητικά εστιατόρια (56.29.20.05)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με εξαίρεση τις Υπηρεσίες κοινωνικής μέριμνας χωρίς παροχή καταλύματος για ηλικιωμένους και άτομα με αναπηρία (ΚΑΔ 88.10.10), καθώς και τις Υπηρεσίες επίσκεψης και παροχής υποστήριξης σε ηλικιωμένους (ΚΑΔ 88.10.11).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τραπεζιού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εκτός από υπηρεσίες διαιτολογίας (96.04.10.01) και Υπηρεσίες διαιτολογικών μονάδων (πολυδύναμων μονάδων συνδυασμού άσκησης, αισθητικής και δίαιτας) (96.04.10.02)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 για επιχειρήσεις που δραστηριοποιούνται στην παροχή επιχειρηματικών συμβουλών και άλλων συμβουλών διαχείρισης αποκλειστικά προς και για ξενοδοχειακά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Σεπτεμβρίου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ΑΠΟΣΤΟΛΟΣ</w:t>
      </w:r>
    </w:p>
    <w:p>
      <w:pPr>
        <w:spacing w:before="240" w:after="240"/>
        <w:rPr>
          <w:lang w:val="el" w:eastAsia="el"/>
        </w:rPr>
      </w:pPr>
      <w:r>
        <w:rPr>
          <w:b/>
          <w:bCs/>
          <w:lang w:val="el" w:eastAsia="el"/>
        </w:rPr>
        <w:t>ΒΕΣΥΡΟΠΟΥΛΟΣ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w:t>
      </w:r>
    </w:p>
    <w:p>
      <w:pPr>
        <w:spacing w:before="240" w:after="240"/>
        <w:rPr>
          <w:lang w:val="el" w:eastAsia="el"/>
        </w:rPr>
      </w:pPr>
      <w:r>
        <w:rPr>
          <w:b/>
          <w:bCs/>
          <w:lang w:val="el" w:eastAsia="el"/>
        </w:rPr>
        <w:t>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