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Α.1207</w:t>
      </w:r>
    </w:p>
    <w:p>
      <w:pPr>
        <w:pStyle w:val="PreambelText"/>
        <w:spacing w:before="240" w:after="240"/>
        <w:rPr>
          <w:lang w:val="el" w:eastAsia="el"/>
        </w:rPr>
      </w:pPr>
      <w:r>
        <w:rPr>
          <w:b/>
          <w:bCs/>
          <w:lang w:val="el" w:eastAsia="el"/>
        </w:rPr>
        <w:t>Τροποποίηση της υπό στοιχεία Α.1203/16.5.2019 (Β’ 1933) απόφασης του Διοικητή της Ανεξάρτητης Αρχής Δημοσίων Εσόδων,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 4 του άρθρου 126 του ν. 2960/2001 (Α' 265)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123 του ν. 2960/2001,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Των άρθρων 120, 121, 121Α, 122, 123, 124 και 126 του ν. 2960/2001, όπως τροποποιήθηκαν και ισχύουν.</w:t>
      </w:r>
    </w:p>
    <w:p>
      <w:pPr>
        <w:pStyle w:val="StructureList1"/>
        <w:spacing w:before="120" w:after="0"/>
        <w:rPr>
          <w:lang w:val="el" w:eastAsia="el"/>
        </w:rPr>
      </w:pPr>
      <w:r>
        <w:rPr>
          <w:lang w:val="el" w:eastAsia="el"/>
        </w:rPr>
        <w:t>ε)</w:t>
      </w:r>
      <w:r>
        <w:rPr>
          <w:lang w:val="en" w:eastAsia="en"/>
        </w:rPr>
        <w:tab/>
      </w:r>
      <w:r>
        <w:rPr>
          <w:lang w:val="el" w:eastAsia="el"/>
        </w:rPr>
        <w:t>Των παρ. 6 και 9 του άρθρου 130 του ν. 2960/2001, όπως τροποποιήθηκαν και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4 και της παρ. 2 του άρθρου 5 του ν. 1573/1985 (Α' 201), όπως τροποποιήθηκαν και ισχύουν. ζ) Της παρ. 1 του άρθρου 16 του ν. 2227/1994 (Α' 1994).</w:t>
      </w:r>
    </w:p>
    <w:p>
      <w:pPr>
        <w:pStyle w:val="PreambelText"/>
        <w:spacing w:before="240" w:after="240"/>
        <w:rPr>
          <w:lang w:val="el" w:eastAsia="el"/>
        </w:rPr>
      </w:pPr>
      <w:r>
        <w:rPr>
          <w:lang w:val="el" w:eastAsia="el"/>
        </w:rPr>
        <w:t>2. Την υπό στοιχεία Δ.ΟΡΓ.Α 1036960 ΕΞ 2017/ 10-3-2017 απόφαση του Διοικητή της Ανεξάρτητης Αρχής Δημοσίων Εσόδων Α.Α.Δ.Ε. (Β'968) «Οργανισμός της Ανεξάρτητης Αρχής Δημοσίων Εσόδων (Α.Α.Δ.Ε.)».</w:t>
      </w:r>
    </w:p>
    <w:p>
      <w:pPr>
        <w:pStyle w:val="PreambelText"/>
        <w:spacing w:before="240" w:after="240"/>
        <w:rPr>
          <w:lang w:val="el" w:eastAsia="el"/>
        </w:rPr>
      </w:pPr>
      <w:r>
        <w:rPr>
          <w:lang w:val="el" w:eastAsia="el"/>
        </w:rPr>
        <w:t>3. Την υπό στοιχεία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4.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5294/17.01.2020 απόφαση του Υπουργού Οικονομικών «Ανανέωση θητείας του Διοικητή της Ανεξάρτητης Αρχής Δημοσίων Εσόδων» (Υ.Ο.Δ.Δ 27).</w:t>
      </w:r>
    </w:p>
    <w:p>
      <w:pPr>
        <w:pStyle w:val="PreambelText"/>
        <w:spacing w:before="240" w:after="240"/>
        <w:rPr>
          <w:lang w:val="el" w:eastAsia="el"/>
        </w:rPr>
      </w:pPr>
      <w:r>
        <w:rPr>
          <w:lang w:val="el" w:eastAsia="el"/>
        </w:rPr>
        <w:t>5. Την υπό στοιχεία Δ19Α 5041533 ΕΞ 2013/2-12-2013 (Β' 3051) ΑΥΟ «Καθιέρωση πληροφορικού συστήματος ICISnet και ηλεκτρονικών συναλλαγών, σε πλήρη εφαρμογή».</w:t>
      </w:r>
    </w:p>
    <w:p>
      <w:pPr>
        <w:pStyle w:val="PreambelText"/>
        <w:spacing w:before="240" w:after="240"/>
        <w:rPr>
          <w:lang w:val="el" w:eastAsia="el"/>
        </w:rPr>
      </w:pPr>
      <w:r>
        <w:rPr>
          <w:lang w:val="el" w:eastAsia="el"/>
        </w:rPr>
        <w:t>6. Την υπό στοιχεία ΔΕΦΚ 5041345 ΕΞ 2013/28-11-2013 ΕΔΥΟ «Οδηγίες για τη λειτουργία του υποσυστήματος ΕΙΔΙΚΩΝ ΦΟΡΩΝ ΚΑΤΑΝΑΛΩΣΗΣ στο ICISnet».</w:t>
      </w:r>
    </w:p>
    <w:p>
      <w:pPr>
        <w:pStyle w:val="PreambelText"/>
        <w:spacing w:before="240" w:after="240"/>
        <w:rPr>
          <w:lang w:val="el" w:eastAsia="el"/>
        </w:rPr>
      </w:pPr>
      <w:r>
        <w:rPr>
          <w:lang w:val="el" w:eastAsia="el"/>
        </w:rPr>
        <w:t>7. Την υπό στοιχεία ΔΤΔ Α 1184721 ΕΞ 2016/16-12-2016 απόφαση Γενικού Γραμματέα Δημοσίων Εσόδων «Υποχρεωτική ηλεκτρονική υποβολή των υποστηρικτικών της διασάφησης εισαγωγής εγγράφων Τήρηση αρχείου» (Β’ 4488).</w:t>
      </w:r>
    </w:p>
    <w:p>
      <w:pPr>
        <w:pStyle w:val="PreambelText"/>
        <w:spacing w:before="240" w:after="240"/>
        <w:rPr>
          <w:lang w:val="el" w:eastAsia="el"/>
        </w:rPr>
      </w:pPr>
      <w:r>
        <w:rPr>
          <w:lang w:val="el" w:eastAsia="el"/>
        </w:rPr>
        <w:t>8. Την υπό στοιχεία Α.1203/19 απόφαση του Διοικητή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 1933).</w:t>
      </w:r>
    </w:p>
    <w:p>
      <w:pPr>
        <w:pStyle w:val="PreambelText"/>
        <w:spacing w:before="240" w:after="240"/>
        <w:rPr>
          <w:lang w:val="el" w:eastAsia="el"/>
        </w:rPr>
      </w:pPr>
      <w:r>
        <w:rPr>
          <w:lang w:val="el" w:eastAsia="el"/>
        </w:rPr>
        <w:t>9. Την ανάγκη απλούστευσης της διαδικασίας προσδιορισμού της φορολογητέας αξίας μείωσης του απαιτούμενου χρόνου για την βεβαίωση και είσπραξη του τέλους ταξινόμησης.</w:t>
      </w:r>
    </w:p>
    <w:p>
      <w:pPr>
        <w:pStyle w:val="PreambelText"/>
        <w:spacing w:before="240" w:after="240"/>
        <w:rPr>
          <w:lang w:val="el" w:eastAsia="el"/>
        </w:rPr>
      </w:pPr>
      <w:r>
        <w:rPr>
          <w:lang w:val="el" w:eastAsia="el"/>
        </w:rPr>
        <w:t>10.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Με την παρούσα απόφαση τροποποιείται η υπό στοιχεία Α.1203/19 (Β’ 1933), ως ακολούθως:</w:t>
      </w:r>
    </w:p>
    <w:p>
      <w:pPr>
        <w:pStyle w:val="MainText"/>
        <w:spacing w:before="120" w:after="0"/>
        <w:rPr>
          <w:lang w:val="el" w:eastAsia="el"/>
        </w:rPr>
      </w:pPr>
      <w:r>
        <w:rPr>
          <w:b/>
          <w:bCs/>
          <w:lang w:val="el" w:eastAsia="el"/>
        </w:rPr>
        <w:t>1.</w:t>
      </w:r>
      <w:r>
        <w:rPr>
          <w:lang w:val="el" w:eastAsia="el"/>
        </w:rPr>
        <w:t xml:space="preserve"> Το τρίτο εδάφιο της παρ. 2 του άρθρου 5, αντικαθίσταται ως ακολούθως:</w:t>
      </w:r>
    </w:p>
    <w:p>
      <w:pPr>
        <w:spacing w:before="240" w:after="240"/>
        <w:rPr>
          <w:lang w:val="el" w:eastAsia="el"/>
        </w:rPr>
      </w:pPr>
      <w:r>
        <w:rPr>
          <w:lang w:val="el" w:eastAsia="el"/>
        </w:rPr>
        <w:t>«Σε περιπτώσεις αδυναμίας υποβολής, από τον υπόχρεο καταβολής του τέλους ταξινόμησης της βεβαίωσης εξοπλισμού της περ. (ε) της ανωτέρω παρ. (1) του παρόντος άρθρου, καθώς και στις περιπτώσεις εφαρμογής του άρθρου 9 της παρούσας απόφασης, οι αρμόδιες τελωνειακές αρχές στις οποίες έχει υποβληθεί το παραστατικό θέσης σε ανάλωση του οχήματος, αναζητούν οι ίδιες είτε την εν λόγω βεβαίωση είτε εναλλακτικά την κάρτα εξοπλισμού με βάση τον αριθμό πλαισίου του οχήματος, από οδηγούς/βάσεις δεδομένων εξοπλισμού οχημάτων, στους οποίους αποκτούν πρόσβαση, προκειμένου για την επαλήθευση των δηλωθέντων στοιχείων, της Δήλωσης Εξοπλισμού και Αξίας ή Δήλωσης Εξοπλισμού, κατά περίπτωση.».</w:t>
      </w:r>
    </w:p>
    <w:p>
      <w:pPr>
        <w:pStyle w:val="MainText"/>
        <w:spacing w:before="120" w:after="0"/>
        <w:rPr>
          <w:lang w:val="el" w:eastAsia="el"/>
        </w:rPr>
      </w:pPr>
      <w:r>
        <w:rPr>
          <w:b/>
          <w:bCs/>
          <w:lang w:val="el" w:eastAsia="el"/>
        </w:rPr>
        <w:t>2.</w:t>
      </w:r>
      <w:r>
        <w:rPr>
          <w:lang w:val="el" w:eastAsia="el"/>
        </w:rPr>
        <w:t xml:space="preserve"> Η παρ. 2 του άρθρου 9 αντικαθίσταται ως ακολούθως:</w:t>
      </w:r>
    </w:p>
    <w:p>
      <w:pPr>
        <w:spacing w:before="240" w:after="240"/>
        <w:rPr>
          <w:lang w:val="el" w:eastAsia="el"/>
        </w:rPr>
      </w:pPr>
      <w:r>
        <w:rPr>
          <w:lang w:val="el" w:eastAsia="el"/>
        </w:rPr>
        <w:t>«2 . Όταν η φορολογητέα αξία δεν μπορεί να καθορισθεί κατ' εφαρμογή ορισμένης περίπτωσης, επιτρέπεται η εφαρμογή της διάταξης του αμέσως πιο πρόσφορου, κατά την κρίση της αρμόδιας Τελωνειακής Περιφέρειας, για τον καθορισμό της αξίας, στοιχείου, το οποίο καθορίζεται στην προηγούμενη παρ. 1.».</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Σεπτεμβρίου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