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10 101 84 Αθήνα 2103635963,</w:t>
      </w:r>
    </w:p>
    <w:p>
      <w:pPr>
        <w:spacing w:before="240" w:after="240"/>
        <w:rPr>
          <w:lang w:val="el" w:eastAsia="el"/>
        </w:rPr>
      </w:pPr>
      <w:r>
        <w:rPr>
          <w:lang w:val="el" w:eastAsia="el"/>
        </w:rPr>
        <w:t>2103605159, 2103630573</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στις Περιφερειακές Ενότητες Κεφαλληνίας, Ιθάκης και Ζακύνθου της Περιφέρειας Ιονίων Νήσων για την αντιμετώπιση των έκτακτων αναγκών που προέκυψαν από ακραία καιρικά φαινόμενα (έντονες βροχοπτώσεις, πλημμύρες) στις 17-09-2020»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αριθ. Υ2/9-7-2019 (2901 Β΄) «Σύσταση Θέσεων Αναπληρωτή Υπουργού και Υφυπουργών».</w:t>
      </w:r>
    </w:p>
    <w:p>
      <w:pPr>
        <w:spacing w:before="240" w:after="240"/>
        <w:rPr>
          <w:lang w:val="el" w:eastAsia="el"/>
        </w:rPr>
      </w:pPr>
      <w:r>
        <w:rPr>
          <w:lang w:val="el" w:eastAsia="el"/>
        </w:rPr>
        <w:t>9. Την υπ’ αριθ. 339/18-07-2019 (3051 Β΄) κοινή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11. Την υπ΄ αριθ. 6895/18-09-2020 Απόφαση του Γενικού Γραμματέα Πολιτικής Προστασίας (ΑΔΑ:ΨΠΓΠ46ΜΤΛΒ-1ΔΝ), με την οποία κηρύχθηκαν σε κατάσταση Έκτακτης Ανάγκης Πολιτικής Προστασίας έως και 17 Μαρτίου 2021 οι Περιφερειακές Ενότητες Κεφαλληνίας, Ιθάκης και Ζακύνθου της Περιφέρειας Ιονίων Νήσων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17-09-2020 στις παραπάνω περιοχές.</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17-03-2021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στις Περιφερειακές Ενότητες Κεφαλληνίας, Ιθάκης και Ζακύνθου της Περιφέρειας Ιονίων Νήσων που λήγουν ή έληξαν από 17-09-2020 μέχρι και 17-03-2021.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17-03-2021 η πληρωμή των βεβαιωμένων και ληξιπρόθεσμων την 17-09-2020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4. Γενική Διεύθυνση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