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Δ.15/Δ'/οικ. 37177/1459/2020</w:t>
      </w:r>
    </w:p>
    <w:p>
      <w:pPr>
        <w:pStyle w:val="Title"/>
        <w:spacing w:before="120" w:after="360"/>
        <w:rPr>
          <w:lang w:val="el" w:eastAsia="el"/>
        </w:rPr>
      </w:pPr>
      <w:r>
        <w:rPr>
          <w:lang w:val="el" w:eastAsia="el"/>
        </w:rPr>
        <w:t>Καθορισμός όρων υπαγωγής και διαδικασία εφαρμογής των παρ. 3 και 4 του άρθρου 123 του ν. 4714/2020 (Α΄ 148) για τις επιχειρήσεις εργοδότες που δραστηριοποιούνται στον κλάδο των ακτοπλοϊκών μεταφορών, αναφορικά με την κάλυψη από τον Κρατικό Προϋπολογισμό, των ασφαλιστικών εισφορών εργαζομένων που ασφαλίζονται στον e-ΕΦΚΑ, πλην του πρώην ΝΑΤ</w:t>
      </w:r>
    </w:p>
    <w:p>
      <w:pPr>
        <w:pStyle w:val="Title"/>
        <w:spacing w:before="120" w:after="360"/>
        <w:rPr>
          <w:lang w:val="el" w:eastAsia="el"/>
        </w:rPr>
      </w:pPr>
      <w:r>
        <w:rPr>
          <w:b/>
          <w:bCs/>
          <w:lang w:val="el" w:eastAsia="el"/>
        </w:rPr>
        <w:t>Αριθμ. Δ.15/Δ΄/οικ. 37177/1459/22.9.2020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4111/24-09-2020)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ΕΡΓΑΣΙΑΣ ΚΑΙ ΚΟΙΝΩΝΙΚΩΝ ΥΠΟΘΕΣΕΩΝ-ΝΑΥΤΙΛΙΑΣ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 6 και 8 του άρθρου 123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PreambelText"/>
        <w:spacing w:before="240" w:after="240"/>
        <w:rPr>
          <w:lang w:val="el" w:eastAsia="el"/>
        </w:rPr>
      </w:pPr>
      <w:r>
        <w:rPr>
          <w:lang w:val="el" w:eastAsia="el"/>
        </w:rPr>
        <w:t>2. Το άρθρο 31 του ν. 4690/2020 (Α’104).</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δημόσιο λογιστικό και άλλες διατάξεις» (Α΄ 143) και ιδίως τις διατάξεις της περ. ιβ του άρθρου 20.</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PreambelText"/>
        <w:spacing w:before="240" w:after="240"/>
        <w:rPr>
          <w:lang w:val="el" w:eastAsia="el"/>
        </w:rPr>
      </w:pPr>
      <w:r>
        <w:rPr>
          <w:lang w:val="el" w:eastAsia="el"/>
        </w:rPr>
        <w:t>6.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το π.δ. 62/2020 «Διορισμός Αναπληρωτών Υπουργών και Υφυπουργών» (Α΄ 155).</w:t>
      </w:r>
    </w:p>
    <w:p>
      <w:pPr>
        <w:pStyle w:val="PreambelText"/>
        <w:spacing w:before="240" w:after="240"/>
        <w:rPr>
          <w:lang w:val="el" w:eastAsia="el"/>
        </w:rPr>
      </w:pPr>
      <w:r>
        <w:rPr>
          <w:lang w:val="el" w:eastAsia="el"/>
        </w:rPr>
        <w:t xml:space="preserve">9. Την υπό στοιχεία Υ44/5-8-2020 απόφαση του Πρωθυπουργού «Ανάθεση αρμοδιοτήτων στον Αναπληρωτή Υπουργό Οικονομικών Θεόδωρο Σκυλακάκη» (Β΄3299). </w:t>
      </w:r>
    </w:p>
    <w:p>
      <w:pPr>
        <w:pStyle w:val="PreambelText"/>
        <w:spacing w:before="240" w:after="240"/>
        <w:rPr>
          <w:lang w:val="el" w:eastAsia="el"/>
        </w:rPr>
      </w:pPr>
      <w:r>
        <w:rPr>
          <w:lang w:val="el" w:eastAsia="el"/>
        </w:rPr>
        <w:t>10. Το υπ’ αρ. οικ.36528/1979/18-9-2020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 xml:space="preserve">11. Το γεγονός ότι με τις διατάξεις της παρούσας απόφασης δεν προκαλείται δαπάνη πέραν εκείνης που προβλέφθηκε κατά την ψήφιση του ν. 4714/2020 και της ήδη εκδοθείσας, κατ’ εξουσιοδότηση της παρ. 8 του άρθρου 123 του ν. 4714/2020, υπό στοιχεία Δ.15/Δ'/οικ./31665/1214/8.9.2020 κοινής απόφασης των Υπουργών Οικονομικών, Εργασίας και Κοινωνικών Υποθέσεων και Ναυτιλίας και Νησιωτικής Πολιτικής (Β΄ 3962), στην οποία είχε υπολογιστεί το σύνολο των ασφαλισμένων στις ακτοπλοϊκές επιχειρήσεις που θα καλυφθεί από τον τακτικό προϋπολογισμό του Υπουργείου Εργασίας και Κοινωνικών Υποθέσεων, ΕΦ 1033-5010000000, ΑΛΕ 2310989899, έτους 2020 και η οποία ανέρχεται στο ποσό των εννιά εκατομμυρίων οκτακοσίων δεκατριών χιλιάδων τριακοσίων πενήντα έξι ευρώ και δεκατριών λεπτών (9.813.356,13) κατ’ εκτίμηση,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Κάλυψη ασφαλιστικών εισφορών για τις επιχειρήσεις-εργοδότες που δραστηριοποιούνται στους κλάδους των ακτοπλοϊκών μεταφορών βάσει ΚΑΔ, σύμφωνα με τις διατάξεις των παρ. 3 και 4 του άρθρου 123 του ν. 4714/2020 (Α΄148), αναφορικά με τους εργαζομένους τους που ασφαλίζονται στον e-ΕΦΚΑ, πλην του πρώην ΝΑΤ</w:t>
      </w:r>
    </w:p>
    <w:p>
      <w:pPr>
        <w:pStyle w:val="MainText"/>
        <w:spacing w:before="120" w:after="0"/>
        <w:rPr>
          <w:lang w:val="el" w:eastAsia="el"/>
        </w:rPr>
      </w:pPr>
      <w:r>
        <w:rPr>
          <w:b/>
          <w:bCs/>
          <w:lang w:val="el" w:eastAsia="el"/>
        </w:rPr>
        <w:t>1.</w:t>
      </w:r>
      <w:r>
        <w:rPr>
          <w:lang w:val="el" w:eastAsia="el"/>
        </w:rPr>
        <w:t xml:space="preserve"> Για τις επιχειρήσεις εργοδότες που δραστηριοποιούνται στους κλάδους των ακτοπλοϊκών μεταφορών βάσει ΚΑΔ, που αναφέρεται στον συνημμένο Πίνακα, ο οποίος αποτελεί αναπόσπαστο μέρος της παρούσας, οι εργοδοτικές ασφαλιστικές εισφορές για τους εργαζομένους που ασφαλίζονται στον e-ΕΦΚΑ, πλην του πρώην ΝΑΤ, καταβάλλονται από τον κρατικό προϋπολογισμό για το χρονικό διάστημα από 1.7.2020 έως 30.09.2020.</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τις επιχειρήσεις-εργοδότες της παρ. 1 του παρόντος, που εντάσσονται στον μηχανισμό ενίσχυσης της απασχόλησης «ΣΥΝ-ΕΡΓΑΣΙΑ», το σύνολο των εργοδοτικών ασφαλιστικών εισφορών για τους εργαζομένους που ασφαλίζονται στον e-ΕΦΚΑ, πλην του πρώην ΝΑΤ, καταβάλλεται από τον κρατικό προϋπολογισμό για το χρονικό διάστημα από 1.7.2020 έως 30.6.2021.</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Η Ανεξάρτητη Αρχή Δημοσίων Εσόδων (Α.Α.Δ.Ε.), αποστέλλει στον e-ΕΦΚΑ τα στοιχεία των επιχειρήσεων που δραστηριοποιούνται στους κλάδους των ακτοπλοϊκών μεταφορών βάσει ΚΑΔ.</w:t>
      </w:r>
    </w:p>
    <w:p>
      <w:pPr>
        <w:pStyle w:val="MainText"/>
        <w:spacing w:before="120" w:after="0"/>
        <w:rPr>
          <w:lang w:val="el" w:eastAsia="el"/>
        </w:rPr>
      </w:pPr>
      <w:r>
        <w:rPr>
          <w:b/>
          <w:bCs/>
          <w:lang w:val="el" w:eastAsia="el"/>
        </w:rPr>
        <w:t>4.</w:t>
      </w:r>
      <w:r>
        <w:rPr>
          <w:lang w:val="el" w:eastAsia="el"/>
        </w:rPr>
        <w:t xml:space="preserve"> Οι επιχειρήσεις εργοδότες της παρ. 1 του παρόντος άρθρου, αναφορικά με τους εργαζομένους που ασφαλίζονται στον e-ΕΦΚΑ, πλην του πρώην ΝΑΤ, καταχωρίζουν στα σχετικά πεδία της Α.Π.Δ. της οικείας μισθολογικής περιόδου για το χρονικό διάστημα από 01.07.2020 έως 30.09.2020 το ποσό της μείωσης (επιδότησης) των εργοδοτικών εισφορών, το οποίο ανέρχεται σε ποσοστό 100% των εργοδοτικών εισφορών.</w:t>
      </w:r>
    </w:p>
    <w:p>
      <w:pPr>
        <w:pStyle w:val="MainText"/>
        <w:spacing w:before="120" w:after="0"/>
        <w:rPr>
          <w:lang w:val="el" w:eastAsia="el"/>
        </w:rPr>
      </w:pPr>
      <w:r>
        <w:rPr>
          <w:b/>
          <w:bCs/>
          <w:lang w:val="el" w:eastAsia="el"/>
        </w:rPr>
        <w:t>5.</w:t>
      </w:r>
      <w:r>
        <w:rPr>
          <w:lang w:val="el" w:eastAsia="el"/>
        </w:rPr>
        <w:t xml:space="preserve"> Οι επιχειρήσεις εργοδότες της παρ. 2 του παρόντος άρθρου, καταχωρίζουν στην Α.Π.Δ. της οικείας μισθολογικής περιόδου, με ειδικό τύπο αποδοχών, τις ονομαστικές αποδοχές των μισθωτών που εντάσσονται στον μηχανισμό «ΣΥΝ-ΕΡΓΑΣΙΑ» και για το χρονικό διάστημα ένταξης καθενός σε αυτόν.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για το χρονικό διάστημα από 1.7.2020 έως 30.6.2021:</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i. το ποσό της μείωσης (επιδότησης) των εργοδοτικών εισφορών, το οποίο ανέρχεται σε ποσοστό 100% των εργοδοτικών εισφορών που αντιστοιχούν στον συνολικό χρόνο της μισθολογικής περιόδου (χρόνο απασχόλησης στην επιχείρηση και χρόνο ένταξης στον μηχανισμό «ΣΥΝ-ΕΡΓΑΣΙΑ»),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ii. το ποσό της μείωσης (επιδότησης) των ασφαλιστικών εισφορών εργαζομένου, το οποίο ανέρχεται σε ποσοστό 100% των εισφορών που αντιστοιχούν στο χρόνο κατά τον οποίον οι εργαζόμενοι εντάσσονται στον μηχανισμό «ΣΥΝ-ΕΡΓΑΣΙΑ» και δεν απασχολούνται.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iii. Η συμπλήρωση των σχετικών πεδίων των Α.Π.Δ. γίνεται με βάση τα ισχύοντα πακέτα κάλυψης και με διακριτό τρόπο κατά το σύστημα λειτουργίας του e-ΕΦΚΑ.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 4 και 5 του παρόντος.</w:t>
      </w:r>
    </w:p>
    <w:p>
      <w:pPr>
        <w:pStyle w:val="MainText"/>
        <w:spacing w:before="120" w:after="0"/>
        <w:rPr>
          <w:lang w:val="el" w:eastAsia="el"/>
        </w:rPr>
      </w:pPr>
      <w:r>
        <w:rPr>
          <w:b/>
          <w:bCs/>
          <w:lang w:val="el" w:eastAsia="el"/>
        </w:rPr>
        <w:t>7.</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MainText"/>
        <w:spacing w:before="120" w:after="0"/>
        <w:rPr>
          <w:lang w:val="el" w:eastAsia="el"/>
        </w:rPr>
      </w:pPr>
      <w:r>
        <w:rPr>
          <w:b/>
          <w:bCs/>
          <w:lang w:val="el" w:eastAsia="el"/>
        </w:rPr>
        <w:t>8.</w:t>
      </w:r>
      <w:r>
        <w:rPr>
          <w:lang w:val="el" w:eastAsia="el"/>
        </w:rPr>
        <w:t xml:space="preserve"> 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καθώς και με συγκριτικά στοιχεία απασχόλησης προηγούμενων μηνών και ιστορικά στοιχεία λειτουργίας της επιχείρησης, προκειμένου να επιβεβαιωθεί η ορθότητα των στοιχείων απασχόλησης και ασφαλιστικών εισφορών που δηλώνονται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pPr>
        <w:spacing w:before="240" w:after="240"/>
        <w:rPr>
          <w:lang w:val="el" w:eastAsia="el"/>
        </w:rPr>
      </w:pPr>
      <w:r>
        <w:rPr>
          <w:lang w:val="el" w:eastAsia="el"/>
        </w:rPr>
        <w:t>Σε περίπτωση που για οποιονδήποτε λόγο προκύψει ότι οι επιχειρήσεις εργοδότες δεν εμπίπτουν στις ρυθμίσεις του άρθρου 123 του ν. 4714/2020, οι καταβληθείσες εργοδοτικές ασφαλιστικές εισφορές επιστρέφονται από τον e-ΕΦΚΑ στο Ελληνικό Δημόσιο και καταβάλλονται από τις επιχειρήσεις εργοδότες σύμφωνα με τα προβλεπόμενα για τις ασφαλιστικές εισφορές επιβαρυνόμενες με τον προβλεπόμενο τόκο καθυστέρησης λόγω εκπρόθεσμης καταβολής.</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επιχειρήσεων εργοδοτών</w:t>
      </w:r>
    </w:p>
    <w:p>
      <w:pPr>
        <w:pStyle w:val="MainText"/>
        <w:spacing w:before="120" w:after="0"/>
        <w:rPr>
          <w:lang w:val="el" w:eastAsia="el"/>
        </w:rPr>
      </w:pPr>
      <w:r>
        <w:rPr>
          <w:b/>
          <w:bCs/>
          <w:lang w:val="el" w:eastAsia="el"/>
        </w:rPr>
        <w:t>1.</w:t>
      </w:r>
      <w:r>
        <w:rPr>
          <w:lang w:val="el" w:eastAsia="el"/>
        </w:rPr>
        <w:t xml:space="preserve"> Οι επιχειρήσεις εργοδότες του άρθρου 1 της παρούσας απόφασης που κάνουν χρήση των μέτρων επιδότησης ασφαλιστικών εισφορών, υποχρεούνται για την περίοδο από 1.7.2020 μέχρι 30.9.2020 και μέχρι 30.6.2021 εφόσον εντάσσονται στον μηχανισμό «ΣΥΝ-ΕΡΓΑΣΙΑ», να διατηρήσουν τον ίδιο αριθμό προσωπικού που είχαν την 30η Ιουνίου 2020 και σε περίπτωση καταγγελίας συμβάσεων εργασίας, αυτή είναι άκυρη.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Στην έννοια του ίδιου αριθμού προσωπικού δεν συμπεριλαμβάνονται οι αποχωρούντες οικειοθελώς από την εργασία τους, οι αποχωρούντες λόγω συνταξιοδότησης, οι εργαζόμενοι ορισμένου χρόνου των οποίων η σύμβαση εργασίας λήγει μετά την 30ή Ιουνίου 2020, οι εργαζόμενοι που την 30ή Ιουνίου 2020 βρίσκονταν σε αναστολή και οι περιπτώσεις λύσης της σύμβασης εργασίας λόγω θανάτου του εργαζομένου.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Εργαζόμενοι που ασφαλίζονται στο πρώην ΝΑΤ</w:t>
      </w:r>
    </w:p>
    <w:p>
      <w:pPr>
        <w:spacing w:before="240" w:after="240"/>
        <w:rPr>
          <w:lang w:val="el" w:eastAsia="el"/>
        </w:rPr>
      </w:pPr>
      <w:r>
        <w:rPr>
          <w:lang w:val="el" w:eastAsia="el"/>
        </w:rPr>
        <w:t>Για τους εργαζομένους των επιχειρήσεων εργοδοτών του άρθρου 1 της παρούσας, οι οποίοι ασφαλίζονται στο πρώην ΝΑΤ, εφαρμόζεται η υπό στοιχεία Δ.15/Δ'/οικ./31665/1214/8.9.2020 (Β’3962) κοινή απόφαση των Υπουργών Οικονομικών, Εργασίας και Κοινωνικών Υποθέσεων και Ναυτιλίας και Νησιωτικής Πολιτικής, όπως ισχύει.</w:t>
      </w:r>
    </w:p>
    <w:p>
      <w:pPr>
        <w:spacing w:before="240" w:after="240"/>
        <w:rPr>
          <w:lang w:val="el" w:eastAsia="el"/>
        </w:rPr>
      </w:pPr>
      <w:r>
        <w:rPr>
          <w:b/>
          <w:bCs/>
          <w:lang w:val="el" w:eastAsia="el"/>
        </w:rPr>
        <w:t>ΠΙΝΑΚΑΣ ΚΩΔΙΚΩΝ ΑΡΙΘΜΩΝ ΔΡΑΣΤΗΡΙΟΤΗΤΑΣ ΕΠΙΧΕΙΡΗΣΕΩΝ ΕΡΓΟΔΟΤΩΝ ΤΟΥ ΑΡΘΡΟΥ 1</w:t>
      </w:r>
    </w:p>
    <w:p>
      <w:pPr>
        <w:spacing w:before="240" w:after="240"/>
        <w:rPr>
          <w:lang w:val="el" w:eastAsia="el"/>
        </w:rPr>
      </w:pPr>
      <w:r>
        <w:rPr>
          <w:lang w:val="el" w:eastAsia="el"/>
        </w:rPr>
        <w:t>Παρατίθεται πίνακας με τους Κωδικούς Αριθμούς Δραστηριότητας (ΚΑΔ) των κλάδων των ακτοπλοϊκών μεταφορών για τους οποίους θα ισχύσει η κάλυψη των ασφαλιστικών εισφορών από τον κρατικό προϋπολογισμό.</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3"/>
        <w:gridCol w:w="5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Σεπτεμβρίου 2020</w:t>
      </w:r>
    </w:p>
    <w:p>
      <w:pPr>
        <w:spacing w:before="240" w:after="240"/>
        <w:rPr>
          <w:lang w:val="el" w:eastAsia="el"/>
        </w:rPr>
      </w:pPr>
      <w:r>
        <w:rPr>
          <w:lang w:val="el" w:eastAsia="el"/>
        </w:rPr>
        <w:t>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Δ.15/Δ’/10390/402/2021 29.04.2021; Τροποποίηση A. Δ.15/Δ’/51846/2021 26.07.2021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Δ.15/Δ’/10390/402/2021 29.04.2021; Τροποποίηση A. Δ.15/Δ’/51846/2021 26.07.2021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Δ.15/Δ’/10390/402/2021 29.04.2021; Τροποποίηση A. Δ.15/Δ’/51846/2021 26.07.2021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Δ.15/Δ’/10390/402/2021 29.04.2021; Τροποποίηση A. Δ.15/Δ’/51846/2021 26.07.2021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Δ.15/Δ’/10390/402/2021 29.04.2021; Τροποποίηση A. Δ.15/Δ’/51846/2021 26.07.2021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Δ.15/Δ’/10390/402/2021 29.04.2021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Δ.15/Δ’/10390/402/2021 29.04.2021; Τροποποίηση A. Δ.15/Δ’/51846/2021 26.07.2021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