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233/2020</w:t>
      </w:r>
    </w:p>
    <w:p>
      <w:pPr>
        <w:pStyle w:val="Title"/>
        <w:spacing w:before="120" w:after="360"/>
        <w:rPr>
          <w:lang w:val="el" w:eastAsia="el"/>
        </w:rPr>
      </w:pPr>
      <w:r>
        <w:rPr>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έως και Αύγουστο 2020</w:t>
      </w:r>
    </w:p>
    <w:p>
      <w:pPr>
        <w:pStyle w:val="PreambelText"/>
        <w:spacing w:before="240" w:after="240"/>
        <w:rPr>
          <w:lang w:val="el" w:eastAsia="el"/>
        </w:rPr>
      </w:pPr>
      <w:r>
        <w:rPr>
          <w:b/>
          <w:bCs/>
          <w:lang w:val="el" w:eastAsia="el"/>
        </w:rPr>
        <w:t>Αριθμ. ΓΔΟΥ 233/2020</w:t>
      </w:r>
    </w:p>
    <w:p>
      <w:pPr>
        <w:pStyle w:val="PreambelText"/>
        <w:spacing w:before="240" w:after="240"/>
        <w:rPr>
          <w:lang w:val="el" w:eastAsia="el"/>
        </w:rPr>
      </w:pPr>
      <w:r>
        <w:rPr>
          <w:lang w:val="el" w:eastAsia="el"/>
        </w:rPr>
        <w:t>(ΦΕΚ Β' 4471/11-10-2020 και ημερομηνία επανακυκλοφορίας λόγω λάθους: 14.10.2020 - Παράρτημα II, Β. Απαιτούμενα δικαιολογητικά)</w:t>
      </w:r>
    </w:p>
    <w:p>
      <w:pPr>
        <w:pStyle w:val="PreambelText"/>
        <w:spacing w:before="240" w:after="240"/>
        <w:rPr>
          <w:lang w:val="el" w:eastAsia="el"/>
        </w:rPr>
      </w:pPr>
      <w:r>
        <w:rPr>
          <w:lang w:val="el" w:eastAsia="el"/>
        </w:rPr>
        <w:t>ΟΙ ΥΠΟΥΡΓΟΙ ΟΙΚΟΝΟΜΙΚΩΝ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 η οποία κυρώθηκε με το άρθρο 1 του ν. 4684/2020 (Α'86),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(Α'84) η οποία κυρώθηκε με το άρθρο 1 του ν. 4690/2020 (Α' 104)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 αρ.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του ν.4270/2014 «Αρχές δημοσιονομικής διαχείρισης και εποπτείας (ενσωμάτωση της Οδηγίας 2011/ 85/ΕΕ) - δημόσιο λογιστικό και άλλες διατάξεις» (Α'143).</w:t>
      </w:r>
    </w:p>
    <w:p>
      <w:pPr>
        <w:pStyle w:val="PreambelText"/>
        <w:spacing w:before="240" w:after="240"/>
        <w:rPr>
          <w:lang w:val="el" w:eastAsia="el"/>
        </w:rPr>
      </w:pPr>
      <w:r>
        <w:rPr>
          <w:lang w:val="el" w:eastAsia="el"/>
        </w:rPr>
        <w:t>7. Τις διατάξεις της παρ. 4 της υποπαρ. Β.10 της παρ. Β του άρθρου πρώτου του ν.4152/2013 «Επείγοντα μέτρα εφαρμογής των νόμων 4046/2012, 4093/2012 και 4172/2013» (Α' 107).</w:t>
      </w:r>
    </w:p>
    <w:p>
      <w:pPr>
        <w:pStyle w:val="PreambelText"/>
        <w:spacing w:before="240" w:after="240"/>
        <w:rPr>
          <w:lang w:val="el" w:eastAsia="el"/>
        </w:rPr>
      </w:pPr>
      <w:r>
        <w:rPr>
          <w:lang w:val="el" w:eastAsia="el"/>
        </w:rPr>
        <w:t>8. Τις διατάξεις του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9. Τις διατάξεις του ν.δ. 356/1974 Κ.Ε.Δ.Ε. (Α'90), όπως ισχύουν.</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13.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(Α'181).</w:t>
      </w:r>
    </w:p>
    <w:p>
      <w:pPr>
        <w:pStyle w:val="PreambelText"/>
        <w:spacing w:before="240" w:after="240"/>
        <w:rPr>
          <w:lang w:val="el" w:eastAsia="el"/>
        </w:rPr>
      </w:pPr>
      <w:r>
        <w:rPr>
          <w:lang w:val="el" w:eastAsia="el"/>
        </w:rPr>
        <w:t>15. Το π.δ. 147/2017 «Οργανισμός του Υπουργείου Οικονομίας και Ανάπτυξης» (Α'192).</w:t>
      </w:r>
    </w:p>
    <w:p>
      <w:pPr>
        <w:pStyle w:val="PreambelText"/>
        <w:spacing w:before="240" w:after="240"/>
        <w:rPr>
          <w:lang w:val="el" w:eastAsia="el"/>
        </w:rPr>
      </w:pPr>
      <w:r>
        <w:rPr>
          <w:lang w:val="el" w:eastAsia="el"/>
        </w:rPr>
        <w:t>16. Το π.δ. 80/2016 «Ανάληψη υποχρεώσεων από τους διατάκτες» (Α'145).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PreambelText"/>
        <w:spacing w:before="240" w:after="240"/>
        <w:rPr>
          <w:lang w:val="el" w:eastAsia="el"/>
        </w:rPr>
      </w:pPr>
      <w:r>
        <w:rPr>
          <w:lang w:val="el" w:eastAsia="el"/>
        </w:rPr>
        <w:t>18. Την υπό στοιχεία Y44/5.8.2020 απόφαση του Πρωθυπουργού «Ανάθεση αρμοδιοτήτων στον Αναπληρωτή Υπουργό Οικονομικών, Θεόδωρο Σκυλακάκη» (Β'3299).</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20.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21.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22. Την υπό στοιχεία ΓΔΟΥ207/10.09.2020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ως και Αύγουστο 2020» (Β'3867).</w:t>
      </w:r>
    </w:p>
    <w:p>
      <w:pPr>
        <w:pStyle w:val="PreambelText"/>
        <w:spacing w:before="240" w:after="240"/>
        <w:rPr>
          <w:lang w:val="el" w:eastAsia="el"/>
        </w:rPr>
      </w:pPr>
      <w:r>
        <w:rPr>
          <w:lang w:val="el" w:eastAsia="el"/>
        </w:rPr>
        <w:t>23. Την υπό στοιχεία ΓΔΟΥ 148/3.7.2020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κατά τους μήνες Μάρτιο, Απρίλιο και Μάιο 2020» (Β'2729), όπως ισχύει.</w:t>
      </w:r>
    </w:p>
    <w:p>
      <w:pPr>
        <w:pStyle w:val="PreambelText"/>
        <w:spacing w:before="240" w:after="240"/>
        <w:rPr>
          <w:lang w:val="el" w:eastAsia="el"/>
        </w:rPr>
      </w:pPr>
      <w:r>
        <w:rPr>
          <w:lang w:val="el" w:eastAsia="el"/>
        </w:rPr>
        <w:t>24. Την υπό στοιχεία ΓΔΟΥ 94/2.5.2020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κωρονοιού COVID-19» (Β' 1645), όπως ισχύει.</w:t>
      </w:r>
    </w:p>
    <w:p>
      <w:pPr>
        <w:pStyle w:val="PreambelText"/>
        <w:spacing w:before="240" w:after="240"/>
        <w:rPr>
          <w:lang w:val="el" w:eastAsia="el"/>
        </w:rPr>
      </w:pPr>
      <w:r>
        <w:rPr>
          <w:lang w:val="el" w:eastAsia="el"/>
        </w:rPr>
        <w:t>25. Την υπό στοιχεία Α.1076/2020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26.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27. Την υπό στοιχεία 2/38209/ΔΠΓΚ/30.09.2020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 xml:space="preserve">28. Το γεγονός ότι από τις διατάξεις της παρούσας απόφασης προκαλείται πρόσθετη δαπάνη ύψους ενός δισεκατομμυρίου πεντακοσίων εκατομμυρίων (1.500.000.000)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η οποία θα αντιμετωπιστεί με μεταφορά πιστώσεων από τον ΑΛΕ 2910601058 «Πιστώσεις για δράσεις που σχετίζονται με την υλοποίηση μέτρων προστασίας της δημόσιας υγείας από τον κορωνοϊό»,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 για τους μήνες Μάρτιο έως και Αύγουστο του 2020.</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C(2020)1863 /19.03.2020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υπ' αρ. 1407/2013 Κανονισμού (ΕΕ)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του άρθρου 3 παρ. 3 περ.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0,83%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ήτοι -0,26,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αριθ.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αριθ.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 :</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 πρώτο, δεύτερο και τρίτο τρίμηνο του έτους 2019, ως κύκλος εργασιών αναφοράς λαμβάνεται το άθροισμα του κύκλου εργασιών του πρώτου τριμήνου πολλαπλασιαζόμενο με ένα τρίτο (1/3), του δεύτερου τριμήνου πολλαπλασιαζόμενο με τρία τρίτα (3/3) και του τρίτου τριμήνου πολλαπλασιαζόμενο με δύο τρίτα (2/3), ββ) σε περίπτωση που η επιχείρηση δεν έχει θετικό κύκλο εργασιών το πρώτο, το δεύτερο ή το τρίτο τρίμηνο του έτους 2019, ως κύκλος εργασιών αναφοράς λαμβάνεται ο συνολικός κύκλος εργασιών του έτους 2019, διαιρεμένος με δύο (ώστε να προκύψει σε εξαμηνιαία βάση), γγ) 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έξι (6),</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τους μήνες Μάρτιο, Απρίλιο, Μάιο, Ιούνιο, Ιούλιο και Αύγουστο του έτους 2019, ως κύκλος εργασιών αναφοράς λαμβάνεται το άθροισμα του κύκλου εργασιών των μηνών Μαρτίου, Απριλίου, Μαΐου, Ιουνίου, Ιουλίου και Αυγούστου του έτους 2019,</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σε ένα εκ των μηνών Μαρτίου, Απριλίου, Μαΐου, Ιουνίου, Ιουλίου ή Αυγούστου του έτους 2019, ως κύκλος εργασιών αναφοράς λαμβάνεται ο συνολικός κύκλος εργασιών του έτους 2019, διαιρεμένος με δύο (ώστε να προκύψει σε εξαμηνιαία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ολόκληρο το έτος 2019 και έχει θετικό κύκλο εργασιών τον μήνα Φεβρουάριο του έτους 2020, ως κύκλος εργασιών αναφοράς λαμβάνεται ο κύκλος εργασιών Φεβρουαρίου του έτους 2020, πολλαπλασιαζόμενος επί έξι (6),</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 (0).</w:t>
      </w:r>
    </w:p>
    <w:p>
      <w:pPr>
        <w:spacing w:before="240" w:after="240"/>
        <w:rPr>
          <w:lang w:val="el" w:eastAsia="el"/>
        </w:rPr>
      </w:pPr>
      <w:r>
        <w:rPr>
          <w:lang w:val="el" w:eastAsia="el"/>
        </w:rPr>
        <w:t>Σε περίπτωση που η επιχείρηση εντός του 2019 έκανε αλλαγή στο τύπο βιβλίων που τηρεί (από απλογραφικά σε διπλογραφικά ή το αντίστροφο), υπολογίζεται ο κύκλος εργασιών αναφοράς και με τους δύο τρόπους που αναφέρονται στις περιπτώσεις (α) και (β) και ως κύκλος εργασιών αναφοράς λαμβάνεται ο μεγαλύτερος εκ των δύο.</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spacing w:before="240" w:after="240"/>
        <w:rPr>
          <w:lang w:val="el" w:eastAsia="el"/>
        </w:rPr>
      </w:pPr>
      <w:r>
        <w:rPr>
          <w:lang w:val="el" w:eastAsia="el"/>
        </w:rPr>
        <w:t>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επιχείρηση έχει θετικά ακαθάριστα έσοδα το έτος 2019 ως τα ακαθάριστα έσοδα του 2019, διαιρεμένα με δύο (ώστε να προκύψει σε εξαμηνιαία βάση),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θετικά ακαθάριστα έσοδα το έτος 2019 και έχει θετικά ακαθάριστα έσοδα τον μήνα Φεβρουάριο του έτους 2020, όπως αυτά έχουν δηλωθεί στην ειδική πλατφόρμα «myBusinessSupport», ως τα ακαθάριστα έσοδα του μηνός Φεβρουαρίου του έτους 2020, πολλαπλασιαζόμενα με έξι (6),</w:t>
      </w:r>
    </w:p>
    <w:p>
      <w:pPr>
        <w:pStyle w:val="StructureList1"/>
        <w:spacing w:before="120" w:after="0"/>
        <w:rPr>
          <w:lang w:val="el" w:eastAsia="el"/>
        </w:rPr>
      </w:pPr>
      <w:r>
        <w:rPr>
          <w:lang w:val="el" w:eastAsia="el"/>
        </w:rPr>
        <w:t>γ)</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στις αιτήσεις εκδήλωσης ενδιαφέροντος κατ' εφαρμογή της υπό στοιχεία ΓΔΟΥ 207/10.09.2020 (Β'3867) κοινής απόφασης των Υπουργών Οικονομικών και Ανάπτυξης και Επενδύσεων. Εφόσον για τα οικονομικά δεδομένα που δηλώθηκαν στην αίτηση εκδήλωσης ενδιαφέροντος, η επιχείρηση έχει υποβάλει τις οικείες φορολογικές δηλώσεις μέχρι την έναρξη ισχύος της παρούσας, λαμβάνονται δεδομένα των δηλώσεων αυτών.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και οι Οργανισμοί Λιμένων.</w:t>
      </w:r>
    </w:p>
    <w:p>
      <w:pPr>
        <w:pStyle w:val="StructureList1"/>
        <w:spacing w:before="120" w:after="0"/>
        <w:rPr>
          <w:lang w:val="el" w:eastAsia="el"/>
        </w:rPr>
      </w:pPr>
      <w:r>
        <w:rPr>
          <w:lang w:val="el" w:eastAsia="el"/>
        </w:rPr>
        <w:t>β)</w:t>
      </w:r>
      <w:r>
        <w:rPr>
          <w:lang w:val="en" w:eastAsia="en"/>
        </w:rPr>
        <w:tab/>
      </w:r>
      <w:r>
        <w:rPr>
          <w:lang w:val="el" w:eastAsia="el"/>
        </w:rPr>
        <w:t>Οι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 αα)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Κατ' εξαίρεση δύνανται να υποβάλλουν εκδήλωση ενδιαφέροντος ατομικές επιχειρήσεις που δεν απασχολούσαν κανένα εργαζόμενο με σχέση εξαρτημένης εργασίας κατά την 1η Αυγούστου 2020 και δεν διαθέτουν φορολογική ταμειακή μηχανή εφόσον:</w:t>
      </w:r>
    </w:p>
    <w:p>
      <w:pPr>
        <w:pStyle w:val="StructureList1"/>
        <w:spacing w:before="120" w:after="0"/>
        <w:rPr>
          <w:lang w:val="el" w:eastAsia="el"/>
        </w:rPr>
      </w:pPr>
      <w:r>
        <w:rPr>
          <w:lang w:val="el" w:eastAsia="el"/>
        </w:rPr>
        <w:t>i)</w:t>
      </w:r>
      <w:r>
        <w:rPr>
          <w:lang w:val="en" w:eastAsia="en"/>
        </w:rPr>
        <w:tab/>
      </w:r>
      <w:r>
        <w:rPr>
          <w:lang w:val="el" w:eastAsia="el"/>
        </w:rPr>
        <w:t>είτε έχουν ενεργό κύριο ΚΑΔ στις 20.03.2020 έναν από τους περιγραφόμενους στο συνημμένο πίνακα του Παραρτήματος ΙΙΙ, ο οποίος και αποτελεί αναπόσπαστο μέρος της παρούσας, ή των οποίων τα ακαθάριστα έσοδα ενεργού κατά την 20.03.2020 ΚΑΔ δευτερεύουσας δραστηριότητας από τους περιγραφόμενους στο συνημμένο του Παραρτήματος ΙΙΙ,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w:t>
      </w:r>
    </w:p>
    <w:p>
      <w:pPr>
        <w:pStyle w:val="StructureList1"/>
        <w:spacing w:before="120" w:after="0"/>
        <w:rPr>
          <w:lang w:val="el" w:eastAsia="el"/>
        </w:rPr>
      </w:pPr>
      <w:r>
        <w:rPr>
          <w:lang w:val="el" w:eastAsia="el"/>
        </w:rPr>
        <w:t>ii)</w:t>
      </w:r>
      <w:r>
        <w:rPr>
          <w:lang w:val="en" w:eastAsia="en"/>
        </w:rPr>
        <w:tab/>
      </w:r>
      <w:r>
        <w:rPr>
          <w:lang w:val="el" w:eastAsia="el"/>
        </w:rPr>
        <w:t>είτε έχουν την έδρα τους στον Δήμο Μεσαπείων και στις Δημοτικές Ενότητες Νέας Αρτάκης και Ληλαντίων του Δήμου Χαλκιδέων, ανεξαρτήτως ΚΑΔ.</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Αυγούστου 2020,</w:t>
      </w:r>
    </w:p>
    <w:p>
      <w:pPr>
        <w:pStyle w:val="StructureList1"/>
        <w:spacing w:before="120" w:after="0"/>
        <w:rPr>
          <w:lang w:val="el" w:eastAsia="el"/>
        </w:rPr>
      </w:pPr>
      <w:r>
        <w:rPr>
          <w:lang w:val="el" w:eastAsia="el"/>
        </w:rPr>
        <w:t>γγ)</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υπό στοιχεία ΓΔΟΥ 207/10.09.2020 (Β'3867) κοινή απόφαση των Υπουργών Οικονομικών και Ανάπτυξης και Επενδύσεων, όπως ισχύει.</w:t>
      </w:r>
    </w:p>
    <w:p>
      <w:pPr>
        <w:spacing w:before="240" w:after="240"/>
        <w:rPr>
          <w:lang w:val="el" w:eastAsia="el"/>
        </w:rPr>
      </w:pPr>
      <w:r>
        <w:rPr>
          <w:lang w:val="el" w:eastAsia="el"/>
        </w:rPr>
        <w:t>Κατ' εξαίρεση, δύνανται να υποβάλουν αίτηση σύμφωνα με το άρθρο 6, και οι επιχειρήσεις της παρ. 1 που δήλωσαν έως την 28η Σεπτεμβρίου 2020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την εκδήλωση ενδιαφέροντος του προηγούμενου εδαφίου.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έναρξη ισχύος της παρούσας απόφασης, έχουν υποβάλει δήλωση φορολογίας εισοδήματος για το φορολογικό έτος 2018,</w:t>
      </w:r>
    </w:p>
    <w:p>
      <w:pPr>
        <w:pStyle w:val="StructureList1"/>
        <w:spacing w:before="120" w:after="0"/>
        <w:rPr>
          <w:lang w:val="el" w:eastAsia="el"/>
        </w:rPr>
      </w:pPr>
      <w:r>
        <w:rPr>
          <w:lang w:val="el" w:eastAsia="el"/>
        </w:rPr>
        <w:t>ββ)</w:t>
      </w:r>
      <w:r>
        <w:rPr>
          <w:lang w:val="en" w:eastAsia="en"/>
        </w:rPr>
        <w:tab/>
      </w:r>
      <w:r>
        <w:rPr>
          <w:lang w:val="el" w:eastAsia="el"/>
        </w:rPr>
        <w:t>μέχρι και την έναρξη ισχύος της παρούσας απόφασης, έχουν υποβάλει όλες τις δηλώσεις ΦΠΑ για την περίοδο από 1η Ιανουαρίου 2019 μέχρι 30η Ιουνίου 2020.</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Απριλίου 2019 μέχρι και την έναρξη ισχύος της παρούσας απόφασης,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μηνών Μαρτίου, Απριλίου, Μαΐου, Ιουνίου, Ιουλίου και Αυγούστου 2020 όπως αυτός έχει δηλωθεί στην ειδική πλατφόρμα «myBusinessSupport», παρουσιάζει μείωση κατά 10,00% τουλάχιστον σε σχέση με τον κύκλο εργασιών αναφοράς και επιπλέον ο κύκλος εργασιών αναφοράς είναι μεγαλύτερος από χίλια (1000) ευρώ,</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μηνών Μαρτίου, Απριλίου, Μαΐου, Ιουνίου, Ιουλίου και Αυγούστου 2020 όπως αυτά έχουν δηλωθεί στην ειδική πλατφόρμα «myBusinessSupport», παρουσιάζει μείωση κατά 10,00% τουλάχιστον, σε σχέση με τα ακαθάριστα έσοδα αναφοράς και επιπλέον τα ακαθάριστα έσοδα αναφοράς είναι μεγαλύτερα από χίλια (1000) ευρώ.</w:t>
      </w:r>
    </w:p>
    <w:p>
      <w:pPr>
        <w:spacing w:before="240" w:after="240"/>
        <w:rPr>
          <w:lang w:val="el" w:eastAsia="el"/>
        </w:rPr>
      </w:pPr>
      <w:r>
        <w:rPr>
          <w:lang w:val="el" w:eastAsia="el"/>
        </w:rPr>
        <w:t>Ειδικά οι επιχειρήσεις που έχουν την έδρα τους στον Δήμο Μεσαπείων και στις Δημοτικές Ενότητες Νέας Αρτάκης και Ληλαντίων του Δήμου Χαλκιδέων δύναται να είναι δικαιούχοι - λήπτες της ενίσχυσης, και στην περίπτωση που δεν παρουσιάζουν μείωση του κύκλου εργασιών τους κατά τα αναφερόμενα στην περίπτωση ε), δυνάμει του Κανονισμού De minimis 1407/2013 και εφόσον πληρούνται οι προϋποθέσεις που τίθενται σε αυτόν.</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(Α'137).</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 ,</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υπ' αρ. 651/2014 Κανονισμού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υπ' αρ. 1407/13 Κανονισμού (ΕΕ),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 - Άθροισμα κύκλου εργασιών μηνών Μαρτίου, Απριλίου, Μαΐου, Ιουνίου, Ιουλίου και Αυγούστου 2020) χ ποσοστιαία διαφορά εκροών εισροών] - [αποζημιώσεις εργαζομένων σε αναστολή] - ποσό που έλαβε η επιχείρηση δυνάμει της υπό στοιχεία ΓΔΟΥ 94/2.5.2020 (Β' 1645) απόφασης όπως ισχύει- ποσό που έλαβε η επιχείρηση δυνάμει της υπό στοιχεία ΓΔΟΥ 148/3.7.2020 (Β' 2729)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Μαρτίου, Απριλίου, Μαΐου, Ιουνίου, Ιουλίου και Αυγούστου 2020 και ο κύκλος εργασιών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στο άθροισμα των ποσών ως αποζημίωση ειδικού σκοπού που αναλογούν στους εργαζομένους της επιχείρησης οι οποίοι τέθηκαν σε προσωρινή αναστολή σύμβασης εργασίας, από 1η Μαρτίου 2020 έως 31η Ιουλίου 2020, σύμφωνα με τις δηλώσεις εργοδοτών όπως τηρούνται στο πληροφοριακό σύστημα ΕΡΓΑΝΗ. Τα ποσά υπολογίζονται ανά επιχείρηση σε μηνιαία βάση, ως το ποσοστό των ημερών για κάθε μήνα που ήταν σε αναστολή εργασίας κάθε εργαζόμενος, πολλαπλασιαζόμενο με 534.</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 - Ακαθάριστα έσοδα μηνών Μαρτίου, Απριλίου, Μαΐου, Ιουνίου, Ιουλίου και Αυγούστου 2020) χ ποσοστιαία διαφορά εσόδων εξόδων] - [αποζημιώσεις εργαζομένων σε αναστολή] - ποσό που έλαβε η επιχείρηση δυνάμει της υπό στοιχεία ΓΔΟΥ 94/2.5.2020 (Β' 1645) απόφασης όπως ισχύει- ποσό που έλαβε η επιχείρηση δυνάμει της υπό στοιχεία ΓΔΟΥ 148/3.7.2020 (Β' 2729)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Μαρτίου, Απριλίου, Μαΐου, Ιουνίου, Ιουλίου και Αυγούστου 2020 και τα ακαθάριστα έσοδα αναφοράς, όπως ορίζονται στην παρούσα απόφαση.</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στο άθροισμα των ποσών ως αποζημίωση ειδικού σκοπού που αναλογούν στους εργαζομένους της επιχείρησης οι οποίοι τέθηκαν σε προσωρινή αναστολή σύμβασης εργασίας, από 1η Μαρτίου 2020 έως 31η Ιουλίου 2020, σύμφωνα με τις δηλώσεις εργοδοτών όπως τηρούνται στο πληροφοριακό σύστημα ΕΡΓΑΝΗ. Τα ποσά υπολογίζονται ανά επιχείρηση σε μηνιαία βάση, ως το ποσοστό των ημερών για κάθε μήνα που ήταν σε αναστολή εργασίας κάθε εργαζόμενος, πολλαπλασιαζόμενο με 534.</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 - εισροών ή εσόδων - 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δύο χιλιάδες (2.000) ευρώ για επιχειρήσεις δικαιούχους που δεν απασχολούν εργαζόμενους με σχέση εξαρτημένης εργασίας την 1η Αυγούστου 2020,</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ευρώ για επιχειρήσεις δικαιούχους που απασχολούν έναν (1) έως πέντε (5) εργαζόμενους με σχέση εξαρτημένης εργασίας την 1η Αυγούστου 2020,</w:t>
      </w:r>
    </w:p>
    <w:p>
      <w:pPr>
        <w:pStyle w:val="StructureList1"/>
        <w:spacing w:before="120" w:after="0"/>
        <w:rPr>
          <w:lang w:val="el" w:eastAsia="el"/>
        </w:rPr>
      </w:pPr>
      <w:r>
        <w:rPr>
          <w:lang w:val="el" w:eastAsia="el"/>
        </w:rPr>
        <w:t>γ)</w:t>
      </w:r>
      <w:r>
        <w:rPr>
          <w:lang w:val="en" w:eastAsia="en"/>
        </w:rPr>
        <w:tab/>
      </w:r>
      <w:r>
        <w:rPr>
          <w:lang w:val="el" w:eastAsia="el"/>
        </w:rPr>
        <w:t>οχτώ χιλιάδες (8.000) ευρώ για επιχειρήσεις δικαιούχους που απασχολούν έξι (6) έως είκοσι (20) εργαζόμενους με σχέση εξαρτημένης εργασίας την 1η Αυγούστου 2020,</w:t>
      </w:r>
    </w:p>
    <w:p>
      <w:pPr>
        <w:pStyle w:val="StructureList1"/>
        <w:spacing w:before="120" w:after="0"/>
        <w:rPr>
          <w:lang w:val="el" w:eastAsia="el"/>
        </w:rPr>
      </w:pPr>
      <w:r>
        <w:rPr>
          <w:lang w:val="el" w:eastAsia="el"/>
        </w:rPr>
        <w:t>δ)</w:t>
      </w:r>
      <w:r>
        <w:rPr>
          <w:lang w:val="en" w:eastAsia="en"/>
        </w:rPr>
        <w:tab/>
      </w:r>
      <w:r>
        <w:rPr>
          <w:lang w:val="el" w:eastAsia="el"/>
        </w:rPr>
        <w:t>δεκαπέντε (15.000) ευρώ για επιχειρήσεις δικαιούχους που απασχολούν είκοσι ένα (21) έως πενήντα (50) εργαζόμενους με σχέση εξαρτημένης εργασίας την 1η Αυγούστου 2020,</w:t>
      </w:r>
    </w:p>
    <w:p>
      <w:pPr>
        <w:pStyle w:val="StructureList1"/>
        <w:spacing w:before="120" w:after="0"/>
        <w:rPr>
          <w:lang w:val="el" w:eastAsia="el"/>
        </w:rPr>
      </w:pPr>
      <w:r>
        <w:rPr>
          <w:lang w:val="el" w:eastAsia="el"/>
        </w:rPr>
        <w:t>ε)</w:t>
      </w:r>
      <w:r>
        <w:rPr>
          <w:lang w:val="en" w:eastAsia="en"/>
        </w:rPr>
        <w:tab/>
      </w:r>
      <w:r>
        <w:rPr>
          <w:lang w:val="el" w:eastAsia="el"/>
        </w:rPr>
        <w:t>τριάντα χιλιάδες (30.000) ευρώ για επιχειρήσεις δικαιούχους που απασχολούν άνω των πενήντα (50) εργαζομένων με σχέση εξαρτημένης εργασίας την 1η Αυγούστου 2020.</w:t>
      </w:r>
    </w:p>
    <w:p>
      <w:pPr>
        <w:pStyle w:val="StructureList1"/>
        <w:spacing w:before="120" w:after="0"/>
        <w:rPr>
          <w:lang w:val="el" w:eastAsia="el"/>
        </w:rPr>
      </w:pPr>
      <w:r>
        <w:rPr>
          <w:lang w:val="el" w:eastAsia="el"/>
        </w:rPr>
        <w:t>στ)</w:t>
      </w:r>
      <w:r>
        <w:rPr>
          <w:lang w:val="en" w:eastAsia="en"/>
        </w:rPr>
        <w:tab/>
      </w:r>
      <w:r>
        <w:rPr>
          <w:lang w:val="el" w:eastAsia="el"/>
        </w:rPr>
        <w:t>Ειδικά για τις επιχειρήσεις που έλαβαν ενίσχυση κατά τον πρώτο ή τον δεύτερο κύκλο της επιστρεπτέας προκαταβολής, δυνάμει των υπό στοιχεία ΓΔΟΥ 94/2020 (Β' 1645) και ΓΔΟΥ 148/3.7.2020 (Β' 2729) αποφάσεων των Υπουργών Οικονομικών και Ανάπτυξης και Επενδύσεων, όπως ισχύουν, δεν εφαρμόζονται τα όρια των περιπτώσεων α ως και ε της παρούσας παραγράφου και η ενίσχυση που προκύπτει από την παρ. 1 δεν μπορεί να είναι κατώτερη των 2.000 ευρώ, ανεξαρτήτως αριθμού εργαζομένων.</w:t>
      </w:r>
    </w:p>
    <w:p>
      <w:pPr>
        <w:pStyle w:val="MainText"/>
        <w:spacing w:before="120" w:after="0"/>
        <w:rPr>
          <w:lang w:val="el" w:eastAsia="el"/>
        </w:rPr>
      </w:pPr>
      <w:r>
        <w:rPr>
          <w:b/>
          <w:bCs/>
          <w:lang w:val="el" w:eastAsia="el"/>
        </w:rPr>
        <w:t>3.</w:t>
      </w:r>
      <w:r>
        <w:rPr>
          <w:lang w:val="el" w:eastAsia="el"/>
        </w:rPr>
        <w:t xml:space="preserve"> Επιπλέον, η ενίσχυση που προκύπτει από τις παρ. 1 και 2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Γ 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διακόσια πενήντα (250) άτομα και το ποσό των πεντακοσίων χιλιάδων (500.000) ευρώ για τις επιχειρήσεις που απασχολούν άνω των διακοσίων πενήντα (250) ατόμων κατά την 1η Αυγούστου 2020.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 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των δραστηριοτήτων ή η διάκριση του κόστους,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αρμόδιας υπηρεσίας του άρθρου 12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lang w:val="el" w:eastAsia="el"/>
        </w:rPr>
        <w:t xml:space="preserve"> Οι αιτήσεις υποβάλλονται έως 2 Νοεμβρίου 2020.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έως την 30η Ιουλίου 2021.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επιχειρήσεων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των επιχειρήσεων σε έντυπη και ηλεκτρονική μορφή που περιλαμβάνει το συνολικό προς πληρωμή ποσό, ολογράφως και αριθμητικώς.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συγκεντρωτική κατάσταση της περ. β της παρ. 3 του άρθρου 7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23/4810500 με κωδικό IBAN GR4001000230000000004810500 που τηρείται στην Τράπεζα της Ελλάδος.</w:t>
      </w:r>
    </w:p>
    <w:p>
      <w:pPr>
        <w:spacing w:before="240" w:after="240"/>
        <w:rPr>
          <w:lang w:val="el" w:eastAsia="el"/>
        </w:rPr>
      </w:pPr>
      <w:r>
        <w:rPr>
          <w:lang w:val="el" w:eastAsia="el"/>
        </w:rPr>
        <w:t>Η αναλυτική κατάσταση της περ. α της παρ. 3 του άρθρου 7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 του Υπουργείου Οικονομικών.</w:t>
      </w:r>
    </w:p>
    <w:p>
      <w:pPr>
        <w:pStyle w:val="MainText"/>
        <w:spacing w:before="120" w:after="0"/>
        <w:rPr>
          <w:lang w:val="el" w:eastAsia="el"/>
        </w:rPr>
      </w:pPr>
      <w:r>
        <w:rPr>
          <w:b/>
          <w:bCs/>
          <w:lang w:val="el" w:eastAsia="el"/>
        </w:rPr>
        <w:t>2.</w:t>
      </w:r>
      <w:r>
        <w:rPr>
          <w:lang w:val="el" w:eastAsia="el"/>
        </w:rPr>
        <w:t xml:space="preserve"> Τα ποσά που απέτυχαν να πληρωθούν επιστρέφουν στον λογαριασμό του Ελληνικού Δημοσίου με IBAN 200211 με IBAN GR7101000230000000000200211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4.</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περ. β της παρ.3 του άρθρου 7,</w:t>
      </w:r>
    </w:p>
    <w:p>
      <w:pPr>
        <w:pStyle w:val="StructureList1"/>
        <w:spacing w:before="120" w:after="0"/>
        <w:rPr>
          <w:lang w:val="el" w:eastAsia="el"/>
        </w:rPr>
      </w:pPr>
      <w:r>
        <w:rPr>
          <w:lang w:val="el" w:eastAsia="el"/>
        </w:rPr>
        <w:t>γ)</w:t>
      </w:r>
      <w:r>
        <w:rPr>
          <w:lang w:val="en" w:eastAsia="en"/>
        </w:rPr>
        <w:tab/>
      </w:r>
      <w:r>
        <w:rPr>
          <w:lang w:val="el" w:eastAsia="el"/>
        </w:rPr>
        <w:t>αντίγραφο της ειδικής εντολής προς την Τράπεζα της Ελλάδος και της αναγγελίας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και προϋποθέσεις επιστροφής της ενίσχυσης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lang w:val="el" w:eastAsia="el"/>
        </w:rPr>
        <w:t xml:space="preserve"> Για το χρονικό διάστημα έως και την 30η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lang w:val="el" w:eastAsia="el"/>
        </w:rPr>
        <w:t>α)</w:t>
      </w:r>
      <w:r>
        <w:rPr>
          <w:lang w:val="en" w:eastAsia="en"/>
        </w:rPr>
        <w:tab/>
      </w:r>
      <w:r>
        <w:rPr>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lang w:val="el" w:eastAsia="el"/>
        </w:rPr>
        <w:t>β)</w:t>
      </w:r>
      <w:r>
        <w:rPr>
          <w:lang w:val="en" w:eastAsia="en"/>
        </w:rPr>
        <w:tab/>
      </w:r>
      <w:r>
        <w:rPr>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Παρέχεται δυνατότητα επιστροφής μέρους της ληφθείσας ενίσχυσης (επιστρεπτέο ποσό), ως εξής: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lang w:val="el" w:eastAsia="el"/>
        </w:rPr>
        <w:t>αα)</w:t>
      </w:r>
      <w:r>
        <w:rPr>
          <w:lang w:val="en" w:eastAsia="en"/>
        </w:rPr>
        <w:tab/>
      </w:r>
      <w:r>
        <w:rPr>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ββ)</w:t>
      </w:r>
      <w:r>
        <w:rPr>
          <w:lang w:val="en" w:eastAsia="en"/>
        </w:rPr>
        <w:tab/>
      </w:r>
      <w:r>
        <w:rPr>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γγ)</w:t>
      </w:r>
      <w:r>
        <w:rPr>
          <w:lang w:val="en" w:eastAsia="en"/>
        </w:rPr>
        <w:tab/>
      </w:r>
      <w:r>
        <w:rPr>
          <w:lang w:val="el" w:eastAsia="el"/>
        </w:rPr>
        <w:t>Επιστροφή ποσοστού 50% της ενίσχυσης, για όλες τις λοιπές επιχειρήσεις που δεν εμπίπτουν στις υποπερ. αα και ββ, εφόσον τηρήθηκε η υποχρέωση της παρ. 1 του άρθρου 10.</w:t>
      </w:r>
    </w:p>
    <w:p>
      <w:pPr>
        <w:pStyle w:val="StructureList1"/>
        <w:spacing w:before="120" w:after="0"/>
        <w:rPr>
          <w:lang w:val="el" w:eastAsia="el"/>
        </w:rPr>
      </w:pPr>
      <w:r>
        <w:rPr>
          <w:lang w:val="el" w:eastAsia="el"/>
        </w:rPr>
        <w:t>β)</w:t>
      </w:r>
      <w:r>
        <w:rPr>
          <w:lang w:val="en" w:eastAsia="en"/>
        </w:rPr>
        <w:tab/>
      </w:r>
      <w:r>
        <w:rPr>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lang w:val="el" w:eastAsia="el"/>
        </w:rPr>
        <w:t>αα)</w:t>
      </w:r>
      <w:r>
        <w:rPr>
          <w:lang w:val="en" w:eastAsia="en"/>
        </w:rPr>
        <w:tab/>
      </w:r>
      <w:r>
        <w:rPr>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10.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lang w:val="el" w:eastAsia="el"/>
        </w:rPr>
        <w:t>ββ)</w:t>
      </w:r>
      <w:r>
        <w:rPr>
          <w:lang w:val="en" w:eastAsia="en"/>
        </w:rPr>
        <w:tab/>
      </w:r>
      <w:r>
        <w:rPr>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10.</w:t>
      </w:r>
    </w:p>
    <w:p>
      <w:pPr>
        <w:spacing w:before="240" w:after="240"/>
        <w:rPr>
          <w:lang w:val="el" w:eastAsia="el"/>
        </w:rPr>
      </w:pPr>
      <w:r>
        <w:rPr>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lang w:val="el" w:eastAsia="el"/>
        </w:rPr>
        <w:t>Ειδικά για τις κάτωθι περιπτώσεις ισχύουν τα εξής:</w:t>
      </w:r>
    </w:p>
    <w:p>
      <w:pPr>
        <w:pStyle w:val="StructureList1"/>
        <w:spacing w:before="120" w:after="0"/>
        <w:rPr>
          <w:lang w:val="el" w:eastAsia="el"/>
        </w:rPr>
      </w:pPr>
      <w:r>
        <w:rPr>
          <w:lang w:val="el" w:eastAsia="el"/>
        </w:rPr>
        <w:t>i)</w:t>
      </w:r>
      <w:r>
        <w:rPr>
          <w:lang w:val="en" w:eastAsia="en"/>
        </w:rPr>
        <w:tab/>
      </w:r>
      <w:r>
        <w:rPr>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lang w:val="el" w:eastAsia="el"/>
        </w:rPr>
        <w:t>ii)</w:t>
      </w:r>
      <w:r>
        <w:rPr>
          <w:lang w:val="en" w:eastAsia="en"/>
        </w:rPr>
        <w:tab/>
      </w:r>
      <w:r>
        <w:rPr>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lang w:val="el" w:eastAsia="el"/>
        </w:rPr>
        <w:t>iii)</w:t>
      </w:r>
      <w:r>
        <w:rPr>
          <w:lang w:val="en" w:eastAsia="en"/>
        </w:rPr>
        <w:tab/>
      </w:r>
      <w:r>
        <w:rPr>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lang w:val="el" w:eastAsia="el"/>
        </w:rPr>
        <w:t>iv)</w:t>
      </w:r>
      <w:r>
        <w:rPr>
          <w:lang w:val="en" w:eastAsia="en"/>
        </w:rPr>
        <w:tab/>
      </w:r>
      <w:r>
        <w:rPr>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lang w:val="el" w:eastAsia="el"/>
        </w:rPr>
        <w:t>v)</w:t>
      </w:r>
      <w:r>
        <w:rPr>
          <w:lang w:val="en" w:eastAsia="en"/>
        </w:rPr>
        <w:tab/>
      </w:r>
      <w:r>
        <w:rPr>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 «θεματικής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w:t>
      </w:r>
    </w:p>
    <w:p>
      <w:pPr>
        <w:spacing w:before="240" w:after="240"/>
        <w:rPr>
          <w:lang w:val="el" w:eastAsia="el"/>
        </w:rPr>
      </w:pPr>
      <w:r>
        <w:rPr>
          <w:lang w:val="el" w:eastAsia="el"/>
        </w:rPr>
        <w:t>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w:t>
      </w:r>
    </w:p>
    <w:p>
      <w:pPr>
        <w:spacing w:before="240" w:after="240"/>
        <w:rPr>
          <w:lang w:val="el" w:eastAsia="el"/>
        </w:rPr>
      </w:pPr>
      <w:r>
        <w:rPr>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την παρ. 3 του άρθρου 2 του Κώδικα Είσπραξης Δημοσίων Εσόδων (ΚΕΔΕ).</w:t>
      </w:r>
    </w:p>
    <w:p>
      <w:pPr>
        <w:spacing w:before="240" w:after="240"/>
        <w:rPr>
          <w:lang w:val="el" w:eastAsia="el"/>
        </w:rPr>
      </w:pPr>
      <w:r>
        <w:rPr>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w:t>
      </w:r>
    </w:p>
    <w:p>
      <w:pPr>
        <w:pStyle w:val="MainText"/>
        <w:spacing w:before="120" w:after="0"/>
        <w:rPr>
          <w:lang w:val="el" w:eastAsia="el"/>
        </w:rPr>
      </w:pPr>
      <w:r>
        <w:rPr>
          <w:b/>
          <w:bCs/>
          <w:lang w:val="el" w:eastAsia="el"/>
        </w:rPr>
        <w:t>7.</w:t>
      </w:r>
      <w:r>
        <w:rPr>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lang w:val="el" w:eastAsia="el"/>
        </w:rPr>
        <w:t>Τα προς επιστροφή ποσά που βεβαιώνονται, επιβαρύνονται με τόκους εκπρόθεσμης καταβολής, σύμφωνα με τις διατάξεις του ΚΕΔΕ.</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lang w:val="el" w:eastAsia="el"/>
        </w:rPr>
        <w:t>β)</w:t>
      </w:r>
      <w:r>
        <w:rPr>
          <w:lang w:val="en" w:eastAsia="en"/>
        </w:rPr>
        <w:tab/>
      </w:r>
      <w:r>
        <w:rPr>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pStyle w:val="MainText"/>
        <w:spacing w:before="120" w:after="0"/>
        <w:rPr>
          <w:lang w:val="el" w:eastAsia="el"/>
        </w:rPr>
      </w:pPr>
      <w:r>
        <w:rPr>
          <w:b/>
          <w:bCs/>
          <w:lang w:val="el" w:eastAsia="el"/>
        </w:rPr>
        <w:t>9.</w:t>
      </w:r>
      <w:r>
        <w:rPr>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 Α325/20.08.2021 (Β' 3905), Δ.Α.Ε.Φ.Κ.-Κ.Ε/13975/Α325/ 20.08.2021 (Β' 3898), Δ.Α.Ε.Φ.Κ.- Κ.Ε/13665/Α325/ 17.08.2021 (Β' 3863) και Δ.Α.Ε.Φ.Κ.-Κ.Ε/11203/Α325/ 09.07.2021 αποφάσεις των Υπουργών Οικονομικών, Ανάπτυξης και Επενδύσεων, Εσωτερικών, Υποδομών και Μεταφορών, το επιστρεπτέο ποσό, δεν επιστρέφεται. Για το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Αυγούστου 2020 έως την 31 Δεκεμβρίου 2020 τον αριθμό των εργαζομένων που απασχολούσε κατά την 1η Αυγούστου 2020, βάσει των στοιχείων του συστήματος ΕΡΓΑΝΗ.</w:t>
      </w:r>
    </w:p>
    <w:p>
      <w:pPr>
        <w:spacing w:before="240" w:after="240"/>
        <w:rPr>
          <w:lang w:val="el" w:eastAsia="el"/>
        </w:rPr>
      </w:pPr>
      <w:r>
        <w:rPr>
          <w:lang w:val="el" w:eastAsia="el"/>
        </w:rPr>
        <w:t xml:space="preserve">Σε περίπτωση που ο αριθμός των εργαζομένων που απασχολούσε η επιχείρηση κατά την 1η Αυγούστου 2020 είναι υψηλότερος από αυτόν που απασχολούσε κατά την 1η Μαρτίου 2020, βάσει των στοιχείων του συστήματος ΕΡΓΑΝΗ, η επιχείρηση υποχρεούται να διατηρήσει από την 1η Αυγούστου 2020 έως την 31η Δεκεμβρίου 2020 τον αριθμό των εργαζομένων που απασχολούσε κατά την 1η Μαρτίου 2020. </w:t>
      </w:r>
    </w:p>
    <w:p>
      <w:pPr>
        <w:spacing w:before="240" w:after="240"/>
        <w:rPr>
          <w:lang w:val="el" w:eastAsia="el"/>
        </w:rPr>
      </w:pPr>
      <w:r>
        <w:rPr>
          <w:lang w:val="el" w:eastAsia="el"/>
        </w:rPr>
        <w:t>Για τον έλεγχο, από τον αριθμό των εργαζομένων που απασχολούσε η επιχείρηση κατά την 1η Αυγούστου 2020 ή κατά την 1η Μαρτίου 2020, κατά περίπτωση,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lang w:val="el" w:eastAsia="el"/>
        </w:rPr>
        <w:t>Για τον υπολογισμό, στον αριθμό εργαζομένων αναφοράς προστίθεται για τον μήνα Αύγουστο 2020 και για κάθε έναν από τους επόμενους μήνες έως και τον μήνα Δεκέμβριο 2020,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w:t>
      </w:r>
    </w:p>
    <w:p>
      <w:pPr>
        <w:spacing w:before="240" w:after="240"/>
        <w:rPr>
          <w:lang w:val="el" w:eastAsia="el"/>
        </w:rPr>
      </w:pPr>
      <w:r>
        <w:rPr>
          <w:lang w:val="el" w:eastAsia="el"/>
        </w:rPr>
        <w:t>Στη συνέχεια υπολογίζεται το άθροισμα του ανωτέρω μεγέθους για τους μήνες Αύγουστο 2020 έως και Δεκέμβριο 2020 και διαιρείται με τον αριθμό των μηνών, ήτοι με τον αριθμό πέντε (5). Εάν το αποτέλεσμα που προκύπτει είναι μικρότερο κατά μία μονάδα και άνω από τον αριθμό των εργαζομένων που απασχολούσε η επιχείρηση κατά την 1η Αυγούστου 2020 ή κατά την 1η Μαρτίου 2020 κατά περίπτωση,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1η Αυγούστου 2020 ή κατά την 1η Μαρτίου 2020 κατά περίπτωση, θεωρείται ότι τηρήθηκε η ανωτέρω υποχρέωση διατήρησης του αριθμού των εργαζομένων.</w:t>
      </w:r>
    </w:p>
    <w:p>
      <w:pPr>
        <w:spacing w:before="240" w:after="240"/>
        <w:rPr>
          <w:lang w:val="el" w:eastAsia="el"/>
        </w:rPr>
      </w:pPr>
      <w:r>
        <w:rPr>
          <w:lang w:val="el" w:eastAsia="el"/>
        </w:rPr>
        <w:t>Ως αριθμός εργαζομένων αναφοράς ορίζεται το ελάχιστο μεταξύ των εργαζομένων που απασχολούσε η επιχείρηση κατά την 1η Αυγούστου 2020 και κατά την 1η Μαρτίου 2020.</w:t>
      </w:r>
    </w:p>
    <w:p>
      <w:pPr>
        <w:spacing w:before="240" w:after="240"/>
        <w:rPr>
          <w:lang w:val="el" w:eastAsia="el"/>
        </w:rPr>
      </w:pPr>
      <w:r>
        <w:rPr>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 σκοπό αυτό.</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lang w:val="el" w:eastAsia="el"/>
        </w:rPr>
        <w:t> </w:t>
      </w:r>
    </w:p>
    <w:p>
      <w:pPr>
        <w:spacing w:before="240" w:after="240"/>
        <w:rPr>
          <w:lang w:val="el" w:eastAsia="el"/>
        </w:rPr>
      </w:pPr>
      <w:r>
        <w:rPr>
          <w:lang w:val="el" w:eastAsia="el"/>
        </w:rPr>
        <w:t>Τα ανωτέρω ισχύουν και για την επιστροφή του συνόλου της χορηγηθείσας ενίσχυσης:</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lang w:val="el" w:eastAsia="el"/>
        </w:rPr>
        <w:t> </w:t>
      </w:r>
    </w:p>
    <w:p>
      <w:pPr>
        <w:spacing w:before="240" w:after="240"/>
        <w:rPr>
          <w:lang w:val="el" w:eastAsia="el"/>
        </w:rPr>
      </w:pPr>
      <w:r>
        <w:rPr>
          <w:lang w:val="el" w:eastAsia="el"/>
        </w:rPr>
        <w:t>Στην περίπτωση που τα απαιτούμενα δικαιολογητικά έχουν υποβληθεί στο πλαίσιο οποιασδήποτε εκ των κοινών αποφάσεων ΓΔΟΥ 94/2.5.2020 (Β' 1645), ΓΔΟΥ 148/3.7.2020 (Β' 2729), ΓΔΟΥ 233/10.10.2020 (Β' 4471), ΓΔΟΥ 281/13.11.2020 (Β' 5047), ΓΔΟΥ 19/25.1.2021 (Β' 236), ΓΔΟΥ232/1.3.2021 (Β' 804) και ΓΔΟΥ 420/23.4.2021 (Β' 1689), νοείται ότι εκπληρώνεται η υποχρέωση υποβολής στο πλαίσιο της παρούσας.</w:t>
      </w:r>
    </w:p>
    <w:p>
      <w:pPr>
        <w:spacing w:before="240" w:after="240"/>
        <w:rPr>
          <w:lang w:val="el" w:eastAsia="el"/>
        </w:rPr>
      </w:pPr>
      <w:r>
        <w:rPr>
          <w:lang w:val="el" w:eastAsia="el"/>
        </w:rPr>
        <w:t> </w:t>
      </w:r>
    </w:p>
    <w:p>
      <w:pPr>
        <w:spacing w:before="240" w:after="240"/>
        <w:rPr>
          <w:lang w:val="el" w:eastAsia="el"/>
        </w:rPr>
      </w:pPr>
      <w:r>
        <w:rPr>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α)</w:t>
      </w:r>
      <w:r>
        <w:rPr>
          <w:lang w:val="en" w:eastAsia="en"/>
        </w:rPr>
        <w:tab/>
      </w:r>
      <w:r>
        <w:rPr>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την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lang w:val="el" w:eastAsia="el"/>
        </w:rPr>
        <w:t> </w:t>
      </w:r>
    </w:p>
    <w:p>
      <w:pPr>
        <w:spacing w:before="240" w:after="240"/>
        <w:rPr>
          <w:lang w:val="el" w:eastAsia="el"/>
        </w:rPr>
      </w:pPr>
      <w:r>
        <w:rPr>
          <w:lang w:val="el" w:eastAsia="el"/>
        </w:rPr>
        <w:t>Στις περιπτώσεις α και β η επιχείρηση δεν δικαιούται την έκπτωση της εφάπαξ καταβολής της παρ. 3 του άρθρου 9 για κανένα καταβαλλόμενο ποσό.</w:t>
      </w:r>
    </w:p>
    <w:p>
      <w:pPr>
        <w:spacing w:before="240" w:after="240"/>
        <w:rPr>
          <w:lang w:val="el" w:eastAsia="el"/>
        </w:rPr>
      </w:pPr>
      <w:r>
        <w:rPr>
          <w:lang w:val="el" w:eastAsia="el"/>
        </w:rPr>
        <w:t> </w:t>
      </w:r>
    </w:p>
    <w:p>
      <w:pPr>
        <w:spacing w:before="240" w:after="240"/>
        <w:rPr>
          <w:lang w:val="el" w:eastAsia="el"/>
        </w:rPr>
      </w:pPr>
      <w:r>
        <w:rPr>
          <w:lang w:val="el" w:eastAsia="el"/>
        </w:rPr>
        <w:t>Για τη βεβαίωση και έκδοση ταυτότητας οφειλής των αχρεωστήτως καταβληθέντων ποσών ακολουθείται η διαδικασία του άρθρου 10Α. Ο υπολογισμός των τόκων ανάκτησης γίνεται από την ημερομηνία χορήγησης της ενίσχυσης.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10Α</w:t>
      </w:r>
    </w:p>
    <w:p>
      <w:pPr>
        <w:pStyle w:val="Heading6"/>
        <w:spacing w:before="240" w:after="240"/>
        <w:rPr>
          <w:lang w:val="el" w:eastAsia="el"/>
        </w:rPr>
      </w:pPr>
      <w:r>
        <w:rPr>
          <w:b/>
          <w:bCs/>
          <w:lang w:val="el" w:eastAsia="el"/>
        </w:rPr>
        <w:t>Αχρεωστήτως καταβληθέντα ποσά</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w:t>
      </w:r>
    </w:p>
    <w:p>
      <w:pPr>
        <w:spacing w:before="240" w:after="240"/>
        <w:rPr>
          <w:lang w:val="el" w:eastAsia="el"/>
        </w:rPr>
      </w:pPr>
      <w:r>
        <w:rPr>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4.</w:t>
      </w:r>
      <w:r>
        <w:rPr>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 α της παρ. 3 του άρθρου 9 ανεξαρτήτως της ημερομηνίας βεβαίωσης και επιβαρύνεται με τόκους εκπρόθεσμης καταβολής σύμφωνα με τις διατάξεις του ΚΕΔΕ.</w:t>
      </w:r>
    </w:p>
    <w:p>
      <w:pPr>
        <w:pStyle w:val="MainText"/>
        <w:spacing w:before="120" w:after="0"/>
        <w:rPr>
          <w:lang w:val="el" w:eastAsia="el"/>
        </w:rPr>
      </w:pPr>
      <w:r>
        <w:rPr>
          <w:b/>
          <w:bCs/>
          <w:lang w:val="el" w:eastAsia="el"/>
        </w:rPr>
        <w:t>6.</w:t>
      </w:r>
      <w:r>
        <w:rPr>
          <w:lang w:val="el" w:eastAsia="el"/>
        </w:rPr>
        <w:t xml:space="preserve"> Η ΑΑΔΕ μετά την είσπραξη των ποσών ενημερώνει σχετικά την ΓΔΟΥ του Υπουργείου Οικονομικών.</w:t>
      </w:r>
    </w:p>
    <w:p>
      <w:pPr>
        <w:pStyle w:val="MainText"/>
        <w:spacing w:before="120" w:after="0"/>
        <w:rPr>
          <w:lang w:val="el" w:eastAsia="el"/>
        </w:rPr>
      </w:pPr>
      <w:r>
        <w:rPr>
          <w:b/>
          <w:bCs/>
          <w:lang w:val="el" w:eastAsia="el"/>
        </w:rPr>
        <w:t>7.</w:t>
      </w:r>
      <w:r>
        <w:rPr>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10.</w:t>
      </w:r>
    </w:p>
    <w:p>
      <w:pPr>
        <w:spacing w:before="240" w:after="240"/>
        <w:rPr>
          <w:lang w:val="el" w:eastAsia="el"/>
        </w:rPr>
      </w:pPr>
      <w:r>
        <w:rPr>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9.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9. Ο νέος τίτλος είσπραξης εξοφλείται σύμφωνα με την παρ. 3 του άρθρου 9.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9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10, η παράταση του πρώτου εδαφίου θεωρείται ως μη χορηγηθείσα και εφαρμόζεται το 6 του ν.4978/2022 (Κ.Ε.Δ.Ε.) επί του ποσού που βεβαιώθηκε μέχρι και 2 Νοεμβρίου 2022, από 1 Δεκεμβρίου 2022.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11 της παρούσας, καθώς και για την υποβολή των ετήσιων εκθέσεων στην Ευρωπαϊκή Επιτροπή κατά τα προβλεπόμενα στο σημείο 87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Γενικής Διεύθυνσης Οικονομικών Υπηρεσιών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 ΟΡΙΣΜΟΣ ΠΡΟΒΛΗΜΑΤΙΚΗΣ ΕΠΙΧΕΙΡΗΣΗΣ</w:t>
      </w:r>
    </w:p>
    <w:p>
      <w:pPr>
        <w:spacing w:before="240" w:after="240"/>
        <w:rPr>
          <w:lang w:val="el" w:eastAsia="el"/>
        </w:rPr>
      </w:pPr>
      <w:r>
        <w:rPr>
          <w:lang w:val="el" w:eastAsia="el"/>
        </w:rPr>
        <w:t>Με βάση τον ως άρθρο 2 παρ.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Επιχείρησης1 (ΜΜΕ) που δεν έχει συμπληρώσει τριετία από τη σύστασή της ή, όσον αφορά τηνεπιλεξιμότητα για ενίσχυση χρηματοδότησης επιχειρηματικού κινδύνου, ΜΜΕ που δεν έχεισυμπληρώσει επταετία από την πρώτη εμπορική της πώληση, η οποία πληροί τα κριτήριαγια επενδύσεις χρηματοδότησης επιχειρηματικού κινδύνου κατόπιν ελέγχου με τη δέουσαεπιμέλεια από τον επιλεγμένο ενδιάμεσο χρηματοπιστωτικό οργανισμό], όταν έχειαπολεσθεί πάνω από το ήμισυ του εγγεγραμμένου της κεφαλαίου λόγω συσσωρευμένωνζημιών. Αυτό ισχύει όταν από την αφαίρεση των συσσωρευμένων ζημιών από τααποθεματικά (και όλα τα άλλα στοιχεία που θεωρούνται εν γένει ως μέρος των ιδίωνκεφαλαίων της εταιρείας) προκύπτει αρνητικό σωρευτικό ποσό που υπερβαίνει το ήμισυτου εγγεγραμμένου κεφαλαίου. Για την εφαρμογή της παρούσας διάταξης, ο όρος «εταιρείαπεριορισμένης ευθύνης» παραπέμπει ειδικότερα στα είδη εταιρειών που αναφέρονται στοπαράρτημα I της οδηγίας 2013/34/ΕΕ του Ευρωπαϊκού Κοινοβουλίου και του Συμβουλίουκαι ο όρος «κεφάλαιο» περιλαμβάνει, ενδεχομένως, και κάθε διαφορά από έκδοση υπέρ τοάρτιο’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τησύστασή της ή, όσον αφορά την επιλεξιμότητα για ενίσχυση χρηματοδότησηςεπιχειρηματικού κινδύνου, ΜΜΕ που δεν έχει συμπληρώσει επταετία από την πρώτηεμπορική της πώληση, η οποία πληροί τα κριτήρια για επενδύσεις χρηματοδότησηςεπιχειρηματικού κινδύνου κατόπιν ελέγχου με τη δέουσα επιμέλεια από τον επιλεγμένοενδιάμεσο χρηματοπιστωτικό οργανισμό), εφόσον έχει απολεσθεί πάνω από το ήμισυ τουκεφαλαίου της, όπως εμφαίνεται στους λογαριασμούς της εταιρείας, λόγω συσσωρευμένωνζημιών. Για την εφαρμογή της παρούσας διάταξης, ο όρος «εταιρεία στην οποίατουλάχιστον ορισμένα μέλη έχουν απεριόριστη ευθύνη για τα χρέη της εταιρείας»παραπέμπει ειδικότερα στα είδη εταιρειών που αναφέρονται στο παράρτημα II της οδηγίας2013/34/ΕΕ’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(EBITDAinterest coverage ratio) είναι κάτω του 1,0.</w:t>
      </w:r>
    </w:p>
    <w:p>
      <w:pPr>
        <w:spacing w:before="240" w:after="240"/>
        <w:rPr>
          <w:lang w:val="el" w:eastAsia="el"/>
        </w:rPr>
      </w:pPr>
      <w:r>
        <w:rPr>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Α.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αιτείται ενίσχυσης δυνάμει του Προσωρινού Πλαισίου, ηεπιχείρηση δηλώνει:</w:t>
      </w:r>
    </w:p>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δ. Ότι η επιχείρηση δεν ήταν προβληματική στις 31.12.2019 σύμφωνα με την έννοια του άρθρου 2 σημείου 18 του Κανονισμού 651/2014 (ΕΕ L 187/26.6.2014), σε επίπεδοαιτούσας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ακόμηαποπληρώσει το δάνειο ή λύσει τη σύμβαση εγγύησης) - και ότι δεν έχει λάβει ενίσχυσηαναδιάρθρωσης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πρωτογενείςπαραγωγούς τη χορηγούμενη δυνάμει της παρούσας ενίσχυση.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τουΠροσωρινού Πλαισίου, διασφαλίζει με κατάλληλα μέσα όπως ο λογιστικός διαχωρισμός,ότι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της παρούσας.</w:t>
      </w:r>
    </w:p>
    <w:p>
      <w:pPr>
        <w:pStyle w:val="MainText"/>
        <w:spacing w:before="120" w:after="0"/>
        <w:rPr>
          <w:lang w:val="el" w:eastAsia="el"/>
        </w:rPr>
      </w:pPr>
      <w:r>
        <w:rPr>
          <w:b/>
          <w:bCs/>
          <w:lang w:val="el" w:eastAsia="el"/>
        </w:rPr>
        <w:t>3.</w:t>
      </w:r>
      <w:r>
        <w:rPr>
          <w:lang w:val="el" w:eastAsia="el"/>
        </w:rPr>
        <w:t xml:space="preserve"> Στην περίπτωση που αιτείται ενίσχυσης δυνάμει του Κανονισμού de minimis, ηεπιχείρηση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p>
      <w:pPr>
        <w:spacing w:before="240" w:after="240"/>
        <w:rPr>
          <w:lang w:val="el" w:eastAsia="el"/>
        </w:rPr>
      </w:pPr>
      <w:r>
        <w:rPr>
          <w:b/>
          <w:bCs/>
          <w:u w:val="single"/>
          <w:lang w:val="el" w:eastAsia="el"/>
        </w:rPr>
        <w:t>β. Όλες τις ενισχύσεις ήσσονος σημασίας που έχει λάβει σε επίπεδο ενιαίας επιχείρησης</w:t>
      </w:r>
    </w:p>
    <w:p>
      <w:pPr>
        <w:spacing w:before="240" w:after="240"/>
        <w:rPr>
          <w:lang w:val="el" w:eastAsia="el"/>
        </w:rPr>
      </w:pPr>
      <w:r>
        <w:rPr>
          <w:b/>
          <w:bCs/>
          <w:u w:val="single"/>
          <w:lang w:val="el" w:eastAsia="el"/>
        </w:rPr>
        <w:t>κατά την τριετία 2018-2020:</w:t>
      </w:r>
    </w:p>
    <w:p>
      <w:pPr>
        <w:spacing w:before="240" w:after="240"/>
        <w:rPr>
          <w:lang w:val="el" w:eastAsia="el"/>
        </w:rPr>
      </w:pPr>
      <w:r>
        <w:rPr>
          <w:b/>
          <w:bCs/>
          <w:u w:val="single"/>
          <w:lang w:val="el" w:eastAsia="el"/>
        </w:rPr>
        <w:t xml:space="preserve">Σημειώνονται τα εξής: </w:t>
      </w:r>
    </w:p>
    <w:p>
      <w:pPr>
        <w:pStyle w:val="StructureList1"/>
        <w:spacing w:before="120" w:after="0"/>
        <w:rPr>
          <w:lang w:val="el" w:eastAsia="el"/>
        </w:rPr>
      </w:pPr>
      <w:r>
        <w:rPr>
          <w:lang w:val="el" w:eastAsia="el"/>
        </w:rPr>
        <w:t>-</w:t>
      </w:r>
      <w:r>
        <w:rPr>
          <w:lang w:val="en" w:eastAsia="en"/>
        </w:rPr>
        <w:tab/>
      </w:r>
      <w:r>
        <w:rPr>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lang w:val="el" w:eastAsia="el"/>
        </w:rPr>
        <w:t>-</w:t>
      </w:r>
      <w:r>
        <w:rPr>
          <w:lang w:val="en" w:eastAsia="en"/>
        </w:rPr>
        <w:tab/>
      </w:r>
      <w:r>
        <w:rPr>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πουέλαβε αυτή την ενίσχυση, η οποία είναι κατά κανόνα η επιχείρηση που ανέλαβε τιςδραστηριότητες για τις οποίες χρησιμοποιήθηκε η ενίσχυση ήσσονος σημασίας. Εάν ο εν λόγωκαταλογισμός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τηνπραγματική ημερομηνία της διάσπασης.</w:t>
      </w:r>
    </w:p>
    <w:p>
      <w:pPr>
        <w:spacing w:before="240" w:after="240"/>
        <w:rPr>
          <w:lang w:val="el" w:eastAsia="el"/>
        </w:rPr>
      </w:pPr>
      <w:r>
        <w:rPr>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minimis,διασφαλίζει με κατάλληλα μέσα όπως ο λογιστικός διαχωρισμός, ότι για καθεμία από τιςδραστηριότητες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(ΕΕ)αριθμ. 1407/13, διασφαλίζει με κατάλληλα μέσα, όπως ο λογιστικός διαχωρισμός, ότιδεν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Ι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 2 του άρθρου 10 της παρούσας να προσκομίσει τα κάτωθι δικαιολογητικά:</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Ενιαίο Πιστοποιητικό Δικαστικής Φερεγγυότητας.</w:t>
      </w:r>
    </w:p>
    <w:p>
      <w:pPr>
        <w:spacing w:before="240" w:after="240"/>
        <w:rPr>
          <w:lang w:val="el" w:eastAsia="el"/>
        </w:rPr>
      </w:pPr>
      <w:r>
        <w:rPr>
          <w:b/>
          <w:bCs/>
          <w:lang w:val="el" w:eastAsia="el"/>
        </w:rPr>
        <w:t>ΠΑΡΑΡΤΗΜΑ ΙΙΙ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υποπερ. i της υποπερ. αα της περίπτωσης β της παρ.1 του άρθρου 3. Σε περίπτωση τετραψήφιουΚΑΔ συμπεριλαμβάνονται όλες οι υποκατηγορίες πενταψήφιων, εξαψήφιων και οκταψήφιων, σεπερίπτωση πενταψήφιου ΚΑΔ συμπεριλαμβάνονται όλες οι υποκατηγορίες εξαψήφιων καιοκταψήφιων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κλάδου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και άλλων ειδών από γουνόδερμα (εκτός καλυμάτων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47.71.71.34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ένδυσης, εξαρτημάτων ρουχισμού από γουνόδερμα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Λλλα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παροχήπροϊόντων σε πακέτο από το κατάστημα (take away) στις οποίες δεν επιτρέπεται ηχρήση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 Υπηρεσίες που παρέχονται απόκαντίνες εργοστάσιων ή γραφείων (56.29.20.03), Υπηρεσίες που παρέχονται απόσχολικές καντίνες (κυλικεία) (56.29.20.04), Υπηρεσίες που παρέχονται από φοιτητικάεστιατόρια (56.29.20.05)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κατάστημα(take away) στις οποίες δεν επιτρέπεται η χρήση τραπεζοκαθισμάτων και τοσερβίρισμα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χωρίςπαροχή καταλύματος για ηλικιωμένους και άτομα με αναπηρία (ΚΑΔ 88.10.10),καθώς και τις Υπηρεσίες επίσκεψης και παροχής υποστήριξης σε ηλικιωμένους (ΚΑΔ88.10.11).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τυχερών παιχνιδιών τραπεζιού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εκτός από υπηρεσίες διαιτολογίας (96.04.10.01) και Υπηρεσίες διαιτολογικών μονάδων (πολυδύναμων μονάδωνσυνδυασμού άσκησης, αισθητικής και δίαιτας) (96.04.10.02)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 για επιχειρήσεις που δραστηριοποιούνται στην παροχή επιχειρηματικών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συμβουλών και άλλων συμβουλών διαχείριση ς αποκλειστικά προς και για ξενοδοχειακά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επικράτειας,όπως και τα καταστήματα αφορολογήτων ειδών ανά την επικράτεια.</w:t>
            </w:r>
          </w:p>
        </w:tc>
      </w:tr>
    </w:tbl>
    <w:p>
      <w:pPr>
        <w:spacing w:before="240" w:after="240"/>
        <w:rPr>
          <w:lang w:val="el" w:eastAsia="el"/>
        </w:rPr>
      </w:pPr>
      <w:r>
        <w:rPr>
          <w:lang w:val="el" w:eastAsia="el"/>
        </w:rPr>
        <w:t>ΠΑΡΑΡΤΗΜΑ IV</w:t>
      </w:r>
    </w:p>
    <w:p>
      <w:pPr>
        <w:spacing w:before="240" w:after="240"/>
        <w:rPr>
          <w:lang w:val="el" w:eastAsia="el"/>
        </w:rPr>
      </w:pPr>
      <w:r>
        <w:rPr>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Title"/>
        <w:spacing w:before="120" w:after="360"/>
        <w:rPr>
          <w:lang w:val="el" w:eastAsia="el"/>
        </w:rPr>
      </w:pPr>
      <w:r>
        <w:rPr>
          <w:lang w:val="el" w:eastAsia="el"/>
        </w:rPr>
        <w:t>Παράρτημα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Αθήνα, 10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246/2020 27.10.2020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246/2020 27.10.2020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739/2021 16.07.2021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1050/2021 16.11.2021; Τροποποίηση A.  ΓΔΟΥ 23/2022 27.05.2022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3/2022 28.01.2022; Τροποποίηση A.  ΓΔΟΥ 60/2022 30.07.2022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54/2022 21.07.2022; Τροποποίηση A.  ΓΔΟΥ 60/2022 30.07.2022; Τροποποίηση A.  ΓΔΟΥ 70/2022 31.08.2022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3/2022 28.01.2022; Τροποποίηση A.  ΓΔΟΥ 54/2022 21.07.2022; Τροποποίηση A  ΓΔΟΥ 85/2022 29.11.2022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246/2020 27.10.2020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60/2022 30.07.2022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246/2020 27.10.2020; Τροποποίηση A.  ΓΔΟΥ 23/2022 27.05.2022; Τροποποίηση A  ΓΔΟΥ 85/2022 29.11.2022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287/2020 25.11.2020; Τροποποίηση A. ΓΔΟΥ 173/2021 19.02.2021; Τροποποίηση A. ΓΔΟΥ 610/2021 30.06.2021; Τροποποίηση A. ΓΔΟΥ 739/2021 16.07.2021; Τροποποίηση A. ΓΔΟΥ 959/2021 30.09.2021; Τροποποίηση A. ΓΔΟΥ 1050/2021 16.11.2021; Τροποποίηση A.  ΓΔΟΥ 54/2022 21.07.2022; Τροποποίηση A.  ΓΔΟΥ 70/2022 31.08.2022; Τροποποίηση A  ΓΔΟΥ 85/2022 29.11.2022; Τροποποίηση A  ΓΔΟΥ 12/2023 01.02.2023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23/2022 27.05.2022; Τροποποίηση A.  ΓΔΟΥ 54/2022 21.07.2022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ΓΔΟΥ 23/2022 27.05.2022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85/2022 29.11.2022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12/2023 01.02.2023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ΓΔΟΥ 287/2020 25.11.2020; Τροποποίηση A. ΓΔΟΥ 173/2021 19.02.2021; Τροποποίηση A. ΓΔΟΥ 610/2021 30.06.2021; Τροποποίηση A. ΓΔΟΥ 739/2021 16.07.2021; Τροποποίηση A. ΓΔΟΥ 959/2021 30.09.2021; Τροποποίηση A. ΓΔΟΥ 1050/2021 16.11.2021; Τροποποίηση A.  ΓΔΟΥ 54/2022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