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233</w:t>
      </w:r>
    </w:p>
    <w:p>
      <w:pPr>
        <w:pStyle w:val="PreambelText"/>
        <w:spacing w:before="240" w:after="240"/>
        <w:rPr>
          <w:lang w:val="el" w:eastAsia="el"/>
        </w:rPr>
      </w:pPr>
      <w:r>
        <w:rPr>
          <w:b/>
          <w:bCs/>
          <w:lang w:val="el" w:eastAsia="el"/>
        </w:rPr>
        <w:t>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έως και Αύγουστο 2020.</w:t>
      </w:r>
    </w:p>
    <w:p>
      <w:pPr>
        <w:pStyle w:val="PreambelText"/>
        <w:spacing w:before="240" w:after="240"/>
        <w:rPr>
          <w:lang w:val="el" w:eastAsia="el"/>
        </w:rPr>
      </w:pPr>
      <w:r>
        <w:rPr>
          <w:b/>
          <w:bCs/>
          <w:lang w:val="el" w:eastAsia="el"/>
        </w:rPr>
        <w:t>ΟΙ ΥΠΟΥΡΓΟΙ 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(Α’75) η οποία κυρώθηκε με το άρθρο 1 του ν. 4684/2020 (Α’86),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(Α’84) η οποία κυρώθηκε με το άρθρο 1 του ν. 4690/2020 (Α’ 104) και ειδικότερα της παρ. 3 αυτού.</w:t>
      </w:r>
    </w:p>
    <w:p>
      <w:pPr>
        <w:pStyle w:val="PreambelText"/>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 της 24.12.2013).</w:t>
      </w:r>
    </w:p>
    <w:p>
      <w:pPr>
        <w:pStyle w:val="PreambelText"/>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w:t>
      </w:r>
    </w:p>
    <w:p>
      <w:pPr>
        <w:pStyle w:val="PreambelText"/>
        <w:spacing w:before="240" w:after="240"/>
        <w:rPr>
          <w:lang w:val="el" w:eastAsia="el"/>
        </w:rPr>
      </w:pPr>
      <w:r>
        <w:rPr>
          <w:lang w:val="el" w:eastAsia="el"/>
        </w:rPr>
        <w:t>5. Την υπ’ αρ.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PreambelText"/>
        <w:spacing w:before="240" w:after="240"/>
        <w:rPr>
          <w:lang w:val="el" w:eastAsia="el"/>
        </w:rPr>
      </w:pPr>
      <w:r>
        <w:rPr>
          <w:lang w:val="el" w:eastAsia="el"/>
        </w:rPr>
        <w:t>6. Τις διατάξεις του ν.4270/2014 «Αρχές δημοσιονομικής διαχείρισης και εποπτείας (ενσωμάτωση της Οδηγίας 2011/ 85/ΕΕ) - δημόσιο λογιστικό και άλλες διατάξεις» (Α’143).</w:t>
      </w:r>
    </w:p>
    <w:p>
      <w:pPr>
        <w:pStyle w:val="PreambelText"/>
        <w:spacing w:before="240" w:after="240"/>
        <w:rPr>
          <w:lang w:val="el" w:eastAsia="el"/>
        </w:rPr>
      </w:pPr>
      <w:r>
        <w:rPr>
          <w:lang w:val="el" w:eastAsia="el"/>
        </w:rPr>
        <w:t>7. Τις διατάξεις της παρ. 4 της υποπαρ. Β.10 της παρ. Β του άρθρου πρώτου του ν.4152/2013 «Επείγοντα μέτρα εφαρμογής των νόμων 4046/2012, 4093/2012 και 4172/2013» (Α’ 107).</w:t>
      </w:r>
    </w:p>
    <w:p>
      <w:pPr>
        <w:pStyle w:val="PreambelText"/>
        <w:spacing w:before="240" w:after="240"/>
        <w:rPr>
          <w:lang w:val="el" w:eastAsia="el"/>
        </w:rPr>
      </w:pPr>
      <w:r>
        <w:rPr>
          <w:lang w:val="el" w:eastAsia="el"/>
        </w:rPr>
        <w:t>8. Τις διατάξεις του ν.3861/2010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9. Τις διατάξεις του ν.δ. 356/1974 Κ.Ε.Δ.Ε. (Α’90), όπως ισχύουν.</w:t>
      </w:r>
    </w:p>
    <w:p>
      <w:pPr>
        <w:pStyle w:val="PreambelText"/>
        <w:spacing w:before="240" w:after="240"/>
        <w:rPr>
          <w:lang w:val="el" w:eastAsia="el"/>
        </w:rPr>
      </w:pPr>
      <w:r>
        <w:rPr>
          <w:lang w:val="el" w:eastAsia="el"/>
        </w:rPr>
        <w:t>10. Το π.δ. 62/2020 «Διορισμός Αναπληρωτών Υπουργών και Υφυπουργών» (Α’ 155).</w:t>
      </w:r>
    </w:p>
    <w:p>
      <w:pPr>
        <w:pStyle w:val="PreambelText"/>
        <w:spacing w:before="240" w:after="240"/>
        <w:rPr>
          <w:lang w:val="el" w:eastAsia="el"/>
        </w:rPr>
      </w:pPr>
      <w:r>
        <w:rPr>
          <w:lang w:val="el" w:eastAsia="el"/>
        </w:rPr>
        <w:t>11.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12.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13. Τo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14. Το π.δ. 142/2017 «Οργανισμός Υπουργείου Οικονομικών» (Α’181).</w:t>
      </w:r>
    </w:p>
    <w:p>
      <w:pPr>
        <w:pStyle w:val="PreambelText"/>
        <w:spacing w:before="240" w:after="240"/>
        <w:rPr>
          <w:lang w:val="el" w:eastAsia="el"/>
        </w:rPr>
      </w:pPr>
      <w:r>
        <w:rPr>
          <w:lang w:val="el" w:eastAsia="el"/>
        </w:rPr>
        <w:t>15. Το π.δ. 147/2017 «Οργανισμός του Υπουργείου Οικονομίας και Ανάπτυξης» (Α’192).</w:t>
      </w:r>
    </w:p>
    <w:p>
      <w:pPr>
        <w:pStyle w:val="PreambelText"/>
        <w:spacing w:before="240" w:after="240"/>
        <w:rPr>
          <w:lang w:val="el" w:eastAsia="el"/>
        </w:rPr>
      </w:pPr>
      <w:r>
        <w:rPr>
          <w:lang w:val="el" w:eastAsia="el"/>
        </w:rPr>
        <w:t>16. Το π.δ. 80/2016 «Ανάληψη υποχρεώσεων από τους διατάκτες» (Α’145).</w:t>
      </w:r>
    </w:p>
    <w:p>
      <w:pPr>
        <w:pStyle w:val="PreambelText"/>
        <w:spacing w:before="240" w:after="240"/>
        <w:rPr>
          <w:lang w:val="el" w:eastAsia="el"/>
        </w:rPr>
      </w:pPr>
      <w:r>
        <w:rPr>
          <w:lang w:val="el" w:eastAsia="el"/>
        </w:rPr>
        <w:t>17. Το άρθρο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 133).</w:t>
      </w:r>
    </w:p>
    <w:p>
      <w:pPr>
        <w:pStyle w:val="PreambelText"/>
        <w:spacing w:before="240" w:after="240"/>
        <w:rPr>
          <w:lang w:val="el" w:eastAsia="el"/>
        </w:rPr>
      </w:pPr>
      <w:r>
        <w:rPr>
          <w:lang w:val="el" w:eastAsia="el"/>
        </w:rPr>
        <w:t>18. Tην υπό στοιχεία Y44/5.8.2020 απόφαση του Πρωθυπουργού «Ανάθεση αρμοδιοτήτων στον Αναπληρωτή Υπουργό Οικονομικών, Θεόδωρο Σκυλακάκη» (Β’3299).</w:t>
      </w:r>
    </w:p>
    <w:p>
      <w:pPr>
        <w:pStyle w:val="PreambelText"/>
        <w:spacing w:before="240" w:after="240"/>
        <w:rPr>
          <w:lang w:val="el" w:eastAsia="el"/>
        </w:rPr>
      </w:pPr>
      <w:r>
        <w:rPr>
          <w:lang w:val="el" w:eastAsia="el"/>
        </w:rPr>
        <w:t>19. Την υπό στοιχεία Υ2/09.07.2019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20. 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pStyle w:val="PreambelText"/>
        <w:spacing w:before="240" w:after="240"/>
        <w:rPr>
          <w:lang w:val="el" w:eastAsia="el"/>
        </w:rPr>
      </w:pPr>
      <w:r>
        <w:rPr>
          <w:lang w:val="el" w:eastAsia="el"/>
        </w:rPr>
        <w:t>21.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22. Tην υπό στοιχεία ΓΔΟΥ207/10.09.2020 κοινή απόφαση των Υπουργών Οικονομικών και Ανάπτυξης και Επενδύσεων «Διαδικασία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Μάρτιο ως και Αύγουστο 2020» (Β’3867).</w:t>
      </w:r>
    </w:p>
    <w:p>
      <w:pPr>
        <w:pStyle w:val="PreambelText"/>
        <w:spacing w:before="240" w:after="240"/>
        <w:rPr>
          <w:lang w:val="el" w:eastAsia="el"/>
        </w:rPr>
      </w:pPr>
      <w:r>
        <w:rPr>
          <w:lang w:val="el" w:eastAsia="el"/>
        </w:rPr>
        <w:t>23. Την υπό στοιχεία ΓΔΟΥ 148/3.7.2020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κωρονοιού COVID-19, κατά τους μήνες Μάρτιο, Απρίλιο και Μάιο 2020» (Β’2729), όπως ισχύει.</w:t>
      </w:r>
    </w:p>
    <w:p>
      <w:pPr>
        <w:pStyle w:val="PreambelText"/>
        <w:spacing w:before="240" w:after="240"/>
        <w:rPr>
          <w:lang w:val="el" w:eastAsia="el"/>
        </w:rPr>
      </w:pPr>
      <w:r>
        <w:rPr>
          <w:lang w:val="el" w:eastAsia="el"/>
        </w:rPr>
        <w:t>24. Την υπό στοιχεία ΓΔΟΥ 94/2.5.2020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κωρονοιού COVID-19» (Β’ 1645), όπως ισχύει.</w:t>
      </w:r>
    </w:p>
    <w:p>
      <w:pPr>
        <w:pStyle w:val="PreambelText"/>
        <w:spacing w:before="240" w:after="240"/>
        <w:rPr>
          <w:lang w:val="el" w:eastAsia="el"/>
        </w:rPr>
      </w:pPr>
      <w:r>
        <w:rPr>
          <w:lang w:val="el" w:eastAsia="el"/>
        </w:rPr>
        <w:t>25. Την υπό στοιχεία Α.1076/2.4.2020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 όπως ισχύει.</w:t>
      </w:r>
    </w:p>
    <w:p>
      <w:pPr>
        <w:pStyle w:val="PreambelText"/>
        <w:spacing w:before="240" w:after="240"/>
        <w:rPr>
          <w:lang w:val="el" w:eastAsia="el"/>
        </w:rPr>
      </w:pPr>
      <w:r>
        <w:rPr>
          <w:lang w:val="el" w:eastAsia="el"/>
        </w:rPr>
        <w:t>26. Την ανάγκη στήριξης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27. Την υπό στοιχεία 2/38209/ΔΠΓΚ/30.09.2020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28. Το γεγονός ότι από τις διατάξεις της παρούσας απόφασης προκαλείται πρόσθετη δαπάνη ύψους ενός δισεκατομμυρίου πεντακοσίων εκατομμυρίων (1.500.000.000) ευρώ, για το τρέχον οικονομικό έτος, σε βάρος του τακτικού προϋπολογισμού του Ειδικού Φορέα 1023-711-0000000 «Γενικές Κρατικές Δαπάνες» του Υπουργείου Οικονομικών και του ΑΛΕ 2310803020, η οποία θα αντιμετωπιστεί με μεταφορά πιστώσεων από τον ΑΛΕ 2910601058 «Πιστώσεις για δράσεις που σχετίζονται με την υλοποίηση μέτρων προστασίας της δημόσιας υγείας από τον κορωνοϊό»,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της επιστρεπτέας προκαταβολής για ιδιωτικές επιχειρήσεις, ανεξαρτήτως κλάδου, που επλήγησαν οικονομικά λόγω της εμφάνισης και διάδοσης της νόσου του κορωνοϊού COVID-19 (COVID-19) για τους μήνες Μάρτιο έως και Αύγουστο του 2020.</w:t>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είτε:</w:t>
      </w:r>
    </w:p>
    <w:p>
      <w:pPr>
        <w:pStyle w:val="StructureList1"/>
        <w:spacing w:before="120" w:after="0"/>
        <w:rPr>
          <w:lang w:val="el" w:eastAsia="el"/>
        </w:rPr>
      </w:pPr>
      <w:r>
        <w:rPr>
          <w:lang w:val="el" w:eastAsia="el"/>
        </w:rPr>
        <w:t>α)</w:t>
      </w:r>
      <w:r>
        <w:rPr>
          <w:lang w:val="en" w:eastAsia="en"/>
        </w:rPr>
        <w:tab/>
      </w:r>
      <w:r>
        <w:rPr>
          <w:lang w:val="el" w:eastAsia="el"/>
        </w:rPr>
        <w:t>σύμφωνα με τους όρους της υπ’ αρ. C(2020) 1863 / 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 είτε</w:t>
      </w:r>
    </w:p>
    <w:p>
      <w:pPr>
        <w:pStyle w:val="StructureList1"/>
        <w:spacing w:before="120" w:after="0"/>
        <w:rPr>
          <w:lang w:val="el" w:eastAsia="el"/>
        </w:rPr>
      </w:pPr>
      <w:r>
        <w:rPr>
          <w:lang w:val="el" w:eastAsia="el"/>
        </w:rPr>
        <w:t>β)</w:t>
      </w:r>
      <w:r>
        <w:rPr>
          <w:lang w:val="en" w:eastAsia="en"/>
        </w:rPr>
        <w:tab/>
      </w:r>
      <w:r>
        <w:rPr>
          <w:lang w:val="el" w:eastAsia="el"/>
        </w:rPr>
        <w:t>σύμφωνα με τους όρους του υπ’ αρ. 1407/2013 Κανονισμού (ΕΕ) για τις ενισχύσεις ήσσονος σημασίας (Κανονισμός de minimis).</w:t>
      </w:r>
    </w:p>
    <w:p>
      <w:pPr>
        <w:pStyle w:val="MainText"/>
        <w:spacing w:before="120" w:after="0"/>
        <w:rPr>
          <w:lang w:val="el" w:eastAsia="el"/>
        </w:rPr>
      </w:pPr>
      <w:r>
        <w:rPr>
          <w:b/>
          <w:bCs/>
          <w:lang w:val="el" w:eastAsia="el"/>
        </w:rPr>
        <w:t>3.</w:t>
      </w:r>
      <w:r>
        <w:rPr>
          <w:lang w:val="el" w:eastAsia="el"/>
        </w:rPr>
        <w:t xml:space="preserve"> Η ενίσχυση με τη μορφή της επιστρεπτέας προκαταβολής είναι ακατάσχετη, αφορολόγητη και δεν συμψηφίζεται με οποιαδήποτε οφειλή.</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Επιστρεπτέα προκαταβολή: ενίσχυση η οποία χορηγείται σε επιχειρήσεις και η οποία επιστρέφεται, εν όλω ή εν μέρει, υπό συγκεκριμένους όρους και προϋποθέσεις.</w:t>
      </w:r>
    </w:p>
    <w:p>
      <w:pPr>
        <w:pStyle w:val="MainText"/>
        <w:spacing w:before="120" w:after="0"/>
        <w:rPr>
          <w:lang w:val="el" w:eastAsia="el"/>
        </w:rPr>
      </w:pPr>
      <w:r>
        <w:rPr>
          <w:b/>
          <w:bCs/>
          <w:lang w:val="el" w:eastAsia="el"/>
        </w:rPr>
        <w:t>2.</w:t>
      </w:r>
      <w:r>
        <w:rPr>
          <w:lang w:val="el" w:eastAsia="el"/>
        </w:rPr>
        <w:t xml:space="preserve"> Προβληματική επιχείρηση: η επιχείρηση για την οποία συντρέχει τουλάχιστον μία από τις προϋποθέσεις που ορίζονται στο άρθρο 2 σημείο 18 του υπ’ αρ. 651/2014 Κανονισμού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 το οποίο και αποτελεί αναπόσπαστο μέρος της παρούσας.</w:t>
      </w:r>
    </w:p>
    <w:p>
      <w:pPr>
        <w:pStyle w:val="MainText"/>
        <w:spacing w:before="120" w:after="0"/>
        <w:rPr>
          <w:lang w:val="el" w:eastAsia="el"/>
        </w:rPr>
      </w:pPr>
      <w:r>
        <w:rPr>
          <w:b/>
          <w:bCs/>
          <w:lang w:val="el" w:eastAsia="el"/>
        </w:rPr>
        <w:t>3.</w:t>
      </w:r>
      <w:r>
        <w:rPr>
          <w:lang w:val="el" w:eastAsia="el"/>
        </w:rPr>
        <w:t xml:space="preserve"> Ενιαία επιχείρηση: ειδικά για τους σκοπούς του ελέγχου της σώρευσης του άρθρου 5, καθώς και του ελέγχου της προϋπόθεσης του άρθρου 3 παρ. 3 περ. α,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4.</w:t>
      </w:r>
      <w:r>
        <w:rPr>
          <w:lang w:val="el" w:eastAsia="el"/>
        </w:rPr>
        <w:t xml:space="preserve"> Επιτόκιο αναφοράς: 0,83% το οποίο αντιστοιχεί στο βασικό επιτόκιο που έχει ορίσει η Ευρωπαϊκή Επιτροπή για την Ελλάδα και ισχύει κατά την ημερομηνία έναρξης ισχύος της παρούσας, σύμφωνα με την ανακοίνωση την τελευταίας αριθ. 2008/C 14/02 (C 14/6 της 19.1.2008), ήτοι -0,26, προσαυξημένο κατά 109 μονάδες βάσης.</w:t>
      </w:r>
    </w:p>
    <w:p>
      <w:pPr>
        <w:pStyle w:val="MainText"/>
        <w:spacing w:before="120" w:after="0"/>
        <w:rPr>
          <w:lang w:val="el" w:eastAsia="el"/>
        </w:rPr>
      </w:pPr>
      <w:r>
        <w:rPr>
          <w:b/>
          <w:bCs/>
          <w:lang w:val="el" w:eastAsia="el"/>
        </w:rPr>
        <w:t>5.</w:t>
      </w:r>
      <w:r>
        <w:rPr>
          <w:lang w:val="el" w:eastAsia="el"/>
        </w:rPr>
        <w:t xml:space="preserve"> Πρωτογενής παραγωγή γεωργικών προϊόντων: η παραγωγή των προϊόντων που απαριθμούνται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κανονισμού (ΕΚ) αριθ. 104/2000,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6.</w:t>
      </w:r>
      <w:r>
        <w:rPr>
          <w:lang w:val="el" w:eastAsia="el"/>
        </w:rPr>
        <w:t xml:space="preserve"> Τομείς αλιείας και υδατοκαλλιέργειας: οι τομείς που εμπίπτουν στον Κανονισμό (ΕΚ) αριθ. 104/2000 του Συμβουλίου της 17ης Δεκεμβρίου 1999 για την κοινή οργάνωση των αγορών των προϊόντων αλιείας και υδατοκαλλιέργειας (EE L17/22 της 21.1.2000), και οι οποίοι αντιστοιχούν στους ΚΑΔ του Παραρτήματος IV το οποίο και αποτελεί αναπόσπαστο μέρος της παρούσας.</w:t>
      </w:r>
    </w:p>
    <w:p>
      <w:pPr>
        <w:pStyle w:val="MainText"/>
        <w:spacing w:before="120" w:after="0"/>
        <w:rPr>
          <w:lang w:val="el" w:eastAsia="el"/>
        </w:rPr>
      </w:pPr>
      <w:r>
        <w:rPr>
          <w:b/>
          <w:bCs/>
          <w:lang w:val="el" w:eastAsia="el"/>
        </w:rPr>
        <w:t>7.</w:t>
      </w:r>
      <w:r>
        <w:rPr>
          <w:lang w:val="el" w:eastAsia="el"/>
        </w:rPr>
        <w:t xml:space="preserve"> 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8.</w:t>
      </w:r>
      <w:r>
        <w:rPr>
          <w:lang w:val="el" w:eastAsia="el"/>
        </w:rPr>
        <w:t xml:space="preserve"> 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9.</w:t>
      </w:r>
      <w:r>
        <w:rPr>
          <w:lang w:val="el" w:eastAsia="el"/>
        </w:rPr>
        <w:t xml:space="preserve"> Μικρομεσαίες Επιχειρήσεις (ΜΜΕ): οι επιχειρήσεις που πληρούν τα κριτήρια που ορίζονται στο παράρτημα I του Καν. 651/2014.</w:t>
      </w:r>
    </w:p>
    <w:p>
      <w:pPr>
        <w:spacing w:before="240" w:after="240"/>
        <w:rPr>
          <w:lang w:val="el" w:eastAsia="el"/>
        </w:rPr>
      </w:pPr>
      <w:r>
        <w:rPr>
          <w:lang w:val="el" w:eastAsia="el"/>
        </w:rPr>
        <w:t>Εξ’ αυτών, σύμφωνα με τα οριζόμενα στο άρθρο 2 του ως άνω παραρτήματος :</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lang w:val="el" w:eastAsia="el"/>
        </w:rPr>
        <w:t>Για τον υπολογισμό του αριθμού απασχολουμένων και των χρηματικών ποσών λαμβάνονται υπόψη τα αναφερόμενα στα άρθρα 3 έως 6 του ως άνω παραρτήματος.</w:t>
      </w:r>
    </w:p>
    <w:p>
      <w:pPr>
        <w:spacing w:before="240" w:after="240"/>
        <w:rPr>
          <w:lang w:val="el" w:eastAsia="el"/>
        </w:rPr>
      </w:pPr>
      <w:r>
        <w:rPr>
          <w:lang w:val="el" w:eastAsia="el"/>
        </w:rPr>
        <w:t>Οι επιχειρήσεις που δεν πληρούν τα κριτήρια που ορίζονται στο ως άνω παράρτημα Ι, θεωρούνται μεγάλες.</w:t>
      </w:r>
    </w:p>
    <w:p>
      <w:pPr>
        <w:pStyle w:val="MainText"/>
        <w:spacing w:before="120" w:after="0"/>
        <w:rPr>
          <w:lang w:val="el" w:eastAsia="el"/>
        </w:rPr>
      </w:pPr>
      <w:r>
        <w:rPr>
          <w:b/>
          <w:bCs/>
          <w:lang w:val="el" w:eastAsia="el"/>
        </w:rPr>
        <w:t>10.</w:t>
      </w:r>
      <w:r>
        <w:rPr>
          <w:lang w:val="el" w:eastAsia="el"/>
        </w:rPr>
        <w:t xml:space="preserve"> Κύκλος εργασιών αναφοράς: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 και τηρούν απλογραφικά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η επιχείρηση έχει θετικό κύκλο εργασιών το πρώτο, δεύτερο και τρίτο τρίμηνο του έτους 2019, ως κύκλος εργασιών αναφοράς λαμβάνεται το άθροισμα του κύκλου εργασιών του πρώτου τριμήνου πολλαπλασιαζόμενο με ένα τρίτο (1/3), του δεύτερου τριμήνου πολλαπλασιαζόμενο με τρία τρίτα (3/3) και του τρίτου τριμήνου πολλαπλασιαζόμενο με δύο τρίτα (2/3), ββ) σε περίπτωση που η επιχείρηση δεν έχει θετικό κύκλο εργασιών το πρώτο, το δεύτερο ή το τρίτο τρίμηνο του έτους 2019, ως κύκλος εργασιών αναφοράς λαμβάνεται ο συνολικός κύκλος εργασιών του έτους 2019, διαιρεμένος με δύο (ώστε να προκύψει σε εξαμηνιαία βάση), γγ) σε περίπτωση που η επιχείρηση δεν έχει θετικό κύκλο εργασιών ολόκληρο το έτος 2019 και έχει θετικό κύκλο εργασιών τον μήνα Φεβρουάριο του έτους 2020, ως κύκλος εργασιών αναφοράς λαμβάνεται ο κύκλος εργασιών Φεβρουαρίου του έτους 2020, πολλαπλασιαζόμενος επί έξι (6),</w:t>
      </w:r>
    </w:p>
    <w:p>
      <w:pPr>
        <w:pStyle w:val="StructureList1"/>
        <w:spacing w:before="120" w:after="0"/>
        <w:rPr>
          <w:lang w:val="el" w:eastAsia="el"/>
        </w:rPr>
      </w:pPr>
      <w:r>
        <w:rPr>
          <w:lang w:val="el" w:eastAsia="el"/>
        </w:rPr>
        <w:t>δδ)</w:t>
      </w:r>
      <w:r>
        <w:rPr>
          <w:lang w:val="en" w:eastAsia="en"/>
        </w:rPr>
        <w:tab/>
      </w:r>
      <w:r>
        <w:rPr>
          <w:lang w:val="el" w:eastAsia="el"/>
        </w:rPr>
        <w:t>σε περίπτωση μη θετικού κύκλου εργασιών ολόκληρο το έτος 2019 και τον μήνα Φεβρουάριο του 2020, ο κύκλος εργασιών αναφοράς ισούται με μηδέν (0).</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είναι υποκείμενες σε ΦΠΑ και τηρούν διπλογραφικά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η επιχείρηση έχει θετικό κύκλο εργασιών τους μήνες Μάρτιο, Απρίλιο, Μάιο, Ιούνιο, Ιούλιο και Αύγουστο του έτους 2019, ως κύκλος εργασιών αναφοράς λαμβάνεται το άθροισμα του κύκλου εργασιών των μηνών Μαρτίου, Απριλίου, Μαΐου, Ιουνίου, Ιουλίου και Αυγούστου του έτους 2019,</w:t>
      </w:r>
    </w:p>
    <w:p>
      <w:pPr>
        <w:pStyle w:val="StructureList1"/>
        <w:spacing w:before="120" w:after="0"/>
        <w:rPr>
          <w:lang w:val="el" w:eastAsia="el"/>
        </w:rPr>
      </w:pPr>
      <w:r>
        <w:rPr>
          <w:lang w:val="el" w:eastAsia="el"/>
        </w:rPr>
        <w:t>ββ)</w:t>
      </w:r>
      <w:r>
        <w:rPr>
          <w:lang w:val="en" w:eastAsia="en"/>
        </w:rPr>
        <w:tab/>
      </w:r>
      <w:r>
        <w:rPr>
          <w:lang w:val="el" w:eastAsia="el"/>
        </w:rPr>
        <w:t>σε περίπτωση που η επιχείρηση δεν έχει θετικό κύκλο εργασιών σε ένα εκ των μηνών Μαρτίου, Απριλίου, Μαΐου, Ιουνίου, Ιουλίου ή Αυγούστου του έτους 2019, ως κύκλος εργασιών αναφοράς λαμβάνεται ο συνολικός κύκλος εργασιών του έτους 2019, διαιρεμένος με δύο (ώστε να προκύψει σε εξαμηνιαία βάση),</w:t>
      </w:r>
    </w:p>
    <w:p>
      <w:pPr>
        <w:pStyle w:val="StructureList1"/>
        <w:spacing w:before="120" w:after="0"/>
        <w:rPr>
          <w:lang w:val="el" w:eastAsia="el"/>
        </w:rPr>
      </w:pPr>
      <w:r>
        <w:rPr>
          <w:lang w:val="el" w:eastAsia="el"/>
        </w:rPr>
        <w:t>γγ)</w:t>
      </w:r>
      <w:r>
        <w:rPr>
          <w:lang w:val="en" w:eastAsia="en"/>
        </w:rPr>
        <w:tab/>
      </w:r>
      <w:r>
        <w:rPr>
          <w:lang w:val="el" w:eastAsia="el"/>
        </w:rPr>
        <w:t>σε περίπτωση που η επιχείρηση δεν έχει θετικό κύκλο εργασιών ολόκληρο το έτος 2019 και έχει θετικό κύκλο εργασιών τον μήνα Φεβρουάριο του έτους 2020, ως κύκλος εργασιών αναφοράς λαμβάνεται ο κύκλος εργασιών Φεβρουαρίου του έτους 2020, πολλαπλασιαζόμενος επί έξι (6),</w:t>
      </w:r>
    </w:p>
    <w:p>
      <w:pPr>
        <w:pStyle w:val="StructureList1"/>
        <w:spacing w:before="120" w:after="0"/>
        <w:rPr>
          <w:lang w:val="el" w:eastAsia="el"/>
        </w:rPr>
      </w:pPr>
      <w:r>
        <w:rPr>
          <w:lang w:val="el" w:eastAsia="el"/>
        </w:rPr>
        <w:t>δδ)</w:t>
      </w:r>
      <w:r>
        <w:rPr>
          <w:lang w:val="en" w:eastAsia="en"/>
        </w:rPr>
        <w:tab/>
      </w:r>
      <w:r>
        <w:rPr>
          <w:lang w:val="el" w:eastAsia="el"/>
        </w:rPr>
        <w:t>σε περίπτωση μη θετικού κύκλου εργασιών ολόκληρο το έτος 2019 και τον μήνα Φεβρουάριο του 2020, ο κύκλος εργασιών αναφοράς ισούται με μηδέν (0).</w:t>
      </w:r>
    </w:p>
    <w:p>
      <w:pPr>
        <w:spacing w:before="240" w:after="240"/>
        <w:rPr>
          <w:lang w:val="el" w:eastAsia="el"/>
        </w:rPr>
      </w:pPr>
      <w:r>
        <w:rPr>
          <w:lang w:val="el" w:eastAsia="el"/>
        </w:rPr>
        <w:t>Σε περίπτωση που η επιχείρηση εντός του 2019 έκανε αλλαγή στο τύπο βιβλίων που τηρεί (από απλογραφικά σε διπλογραφικά ή το αντίστροφο), υπολογίζεται ο κύκλος εργασιών αναφοράς και με τους δύο τρόπους που αναφέρονται στις περιπτώσεις (α) και (β) και ως κύκλος εργασιών αναφοράς λαμβάνεται ο μεγαλύτερος εκ των δύο.</w:t>
      </w:r>
    </w:p>
    <w:p>
      <w:pPr>
        <w:pStyle w:val="MainText"/>
        <w:spacing w:before="120" w:after="0"/>
        <w:rPr>
          <w:lang w:val="el" w:eastAsia="el"/>
        </w:rPr>
      </w:pPr>
      <w:r>
        <w:rPr>
          <w:b/>
          <w:bCs/>
          <w:lang w:val="el" w:eastAsia="el"/>
        </w:rPr>
        <w:t>11.</w:t>
      </w:r>
      <w:r>
        <w:rPr>
          <w:lang w:val="el" w:eastAsia="el"/>
        </w:rPr>
        <w:t xml:space="preserve"> Ακαθάριστα έσοδα αναφοράς:</w:t>
      </w:r>
    </w:p>
    <w:p>
      <w:pPr>
        <w:spacing w:before="240" w:after="240"/>
        <w:rPr>
          <w:lang w:val="el" w:eastAsia="el"/>
        </w:rPr>
      </w:pPr>
      <w:r>
        <w:rPr>
          <w:lang w:val="el" w:eastAsia="el"/>
        </w:rPr>
        <w:t>Για τις επιχειρήσεις που δεν είναι υποκείμενες σε ΦΠΑ ή είναι υποκείμενες και απαλλασσόμενες από το ΦΠΑ:</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επιχείρηση έχει θετικά ακαθάριστα έσοδα το έτος 2019 ως τα ακαθάριστα έσοδα του 2019, διαιρεμένα με δύο (ώστε να προκύψει σε εξαμηνιαία βάση),</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επιχείρηση δεν έχει θετικά ακαθάριστα έσοδα το έτος 2019 και έχει θετικά ακαθάριστα έσοδα τον μήνα Φεβρουάριο του έτους 2020, όπως αυτά έχουν δηλωθεί στην ειδική πλατφόρμα «myBusinessSupport», ως τα ακαθάριστα έσοδα του μηνός Φεβρουαρίου του έτους 2020, πολλαπλασιαζόμενα με έξι (6),</w:t>
      </w:r>
    </w:p>
    <w:p>
      <w:pPr>
        <w:pStyle w:val="StructureList1"/>
        <w:spacing w:before="120" w:after="0"/>
        <w:rPr>
          <w:lang w:val="el" w:eastAsia="el"/>
        </w:rPr>
      </w:pPr>
      <w:r>
        <w:rPr>
          <w:lang w:val="el" w:eastAsia="el"/>
        </w:rPr>
        <w:t>γ)</w:t>
      </w:r>
      <w:r>
        <w:rPr>
          <w:lang w:val="en" w:eastAsia="en"/>
        </w:rPr>
        <w:tab/>
      </w:r>
      <w:r>
        <w:rPr>
          <w:lang w:val="el" w:eastAsia="el"/>
        </w:rPr>
        <w:t>σε περίπτωση μη θετικών εσόδων κατά το έτος 2019 και τον μήνα Φεβρουάριο του 2020, τα ακαθάριστα έσοδα αναφοράς ισούνται με μηδέν (0).</w:t>
      </w:r>
    </w:p>
    <w:p>
      <w:pPr>
        <w:pStyle w:val="MainText"/>
        <w:spacing w:before="120" w:after="0"/>
        <w:rPr>
          <w:lang w:val="el" w:eastAsia="el"/>
        </w:rPr>
      </w:pPr>
      <w:r>
        <w:rPr>
          <w:b/>
          <w:bCs/>
          <w:lang w:val="el" w:eastAsia="el"/>
        </w:rPr>
        <w:t>12.</w:t>
      </w:r>
      <w:r>
        <w:rPr>
          <w:lang w:val="el" w:eastAsia="el"/>
        </w:rPr>
        <w:t xml:space="preserve"> Για τους σκοπούς εφαρμογής της παρούσας απόφασης, λαμβάνονται τα οικονομικά δεδομένα που δηλώθηκαν από τις επιχειρήσεις στις αιτήσεις εκδήλωσης ενδιαφέροντος κατ’ εφαρμογή της υπό στοιχεία ΓΔΟΥ207/10.09.2020 (Β’3867) κοινής απόφασης των Υπουργών Οικονομικών και Ανάπτυξης και Επενδύσεων. Εφόσον για τα οικονομικά δεδομένα που δηλώθηκαν στην αίτηση εκδήλωσης ενδιαφέροντος, η επιχείρηση έχει υποβάλει τις οικείες φορολογικές δηλώσεις μέχρι την έναρξη ισχύος της παρούσας, λαμβάνονται δεδομένα των δηλώσεων αυτών. Ως προς τα λοιπά δεδομένα εισοδήματος και ΦΠΑ, λαμβάνονται αυτά που έχουν δηλωθεί από τις επιχειρήσεις μέχρι και την έναρξη ισχύος της παρούσας απόφασης.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 λήπτες της ενίσχυσης είναι:</w:t>
      </w:r>
    </w:p>
    <w:p>
      <w:pPr>
        <w:pStyle w:val="StructureList1"/>
        <w:spacing w:before="120" w:after="0"/>
        <w:rPr>
          <w:lang w:val="el" w:eastAsia="el"/>
        </w:rPr>
      </w:pPr>
      <w:r>
        <w:rPr>
          <w:lang w:val="el" w:eastAsia="el"/>
        </w:rPr>
        <w:t>α)</w:t>
      </w:r>
      <w:r>
        <w:rPr>
          <w:lang w:val="en" w:eastAsia="en"/>
        </w:rPr>
        <w:tab/>
      </w:r>
      <w:r>
        <w:rPr>
          <w:lang w:val="el" w:eastAsia="el"/>
        </w:rPr>
        <w:t>Oι Δημοτικές Επιχειρήσεις Ύδρευσης και Αποχέτευσης (Δ.Ε.Υ.Α.) και οι Οργανισμοί Λιμένων.</w:t>
      </w:r>
    </w:p>
    <w:p>
      <w:pPr>
        <w:pStyle w:val="StructureList1"/>
        <w:spacing w:before="120" w:after="0"/>
        <w:rPr>
          <w:lang w:val="el" w:eastAsia="el"/>
        </w:rPr>
      </w:pPr>
      <w:r>
        <w:rPr>
          <w:lang w:val="el" w:eastAsia="el"/>
        </w:rPr>
        <w:t>β)</w:t>
      </w:r>
      <w:r>
        <w:rPr>
          <w:lang w:val="en" w:eastAsia="en"/>
        </w:rPr>
        <w:tab/>
      </w:r>
      <w:r>
        <w:rPr>
          <w:lang w:val="el" w:eastAsia="el"/>
        </w:rPr>
        <w:t>Oι ιδιωτικές επιχειρήσεις κάθε νομικής μορφής, συμπεριλαμβανομένων των ατομικών, καθώς και μη κερδοσκοπικές επιχειρήσεις υποκείμενες σε ΦΠΑ, οι οποίες έχουν την έδρα τους ή μόνιμη εγκατάσταση στην Ελλάδα και λειτουργούν νομίμως, ανεξαρτήτως Κωδικού Αριθμού Δραστηριότητας (ΚΑΔ),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Ατομικές επιχειρήσεις που δεν απασχολούσαν κανένα εργαζόμενο με σχέση εξαρτημένης εργασίας κατά την 1η Αυγούστου 2020 και δεν διαθέτουν φορολογική ταμειακή μηχανή. Κατ’ εξαίρεση δύνανται να υποβάλλουν εκδήλωση ενδιαφέροντος ατομικές επιχειρήσεις που δεν απασχολούσαν κανένα εργαζόμενο με σχέση εξαρτημένης εργασίας κατά την 1η Αυγούστου 2020 και δεν διαθέτουν φορολογική ταμειακή μηχανή εφόσον:</w:t>
      </w:r>
    </w:p>
    <w:p>
      <w:pPr>
        <w:spacing w:before="240" w:after="240"/>
        <w:rPr>
          <w:lang w:val="el" w:eastAsia="el"/>
        </w:rPr>
      </w:pPr>
      <w:r>
        <w:rPr>
          <w:lang w:val="el" w:eastAsia="el"/>
        </w:rPr>
        <w:t>είτε έχουν ενεργό κύριο ΚΑΔ στις 20.03.2020 έναν από τους περιγραφόμενους στο συνημμένο πίνακα του Παραρτήματος ΙΙΙ, ο οποίος και αποτελεί αναπόσπαστο μέρος της παρούσας, ή των οποίων τα ακαθάριστα έσοδα ενεργού κατά την 20.03.2020 ΚΑΔ δευτερεύουσας δραστηριότητας από τους περιγραφόμενους στο συνημμένο του Παραρτήματος ΙΙΙ,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w:t>
      </w:r>
    </w:p>
    <w:p>
      <w:pPr>
        <w:pStyle w:val="StructureList1"/>
        <w:spacing w:before="120" w:after="0"/>
        <w:rPr>
          <w:lang w:val="el" w:eastAsia="el"/>
        </w:rPr>
      </w:pPr>
      <w:r>
        <w:rPr>
          <w:lang w:val="el" w:eastAsia="el"/>
        </w:rPr>
        <w:t>ii)</w:t>
      </w:r>
      <w:r>
        <w:rPr>
          <w:lang w:val="en" w:eastAsia="en"/>
        </w:rPr>
        <w:tab/>
      </w:r>
      <w:r>
        <w:rPr>
          <w:lang w:val="el" w:eastAsia="el"/>
        </w:rPr>
        <w:t>είτε έχουν την έδρα τους στον Δήμο Μεσαπείων και στις Δημοτικές Ενότητες Νέας Αρτάκης και Ληλαντίων του Δήμου Χαλκιδέων, ανεξαρτήτως ΚΑΔ.</w:t>
      </w:r>
    </w:p>
    <w:p>
      <w:pPr>
        <w:pStyle w:val="StructureList1"/>
        <w:spacing w:before="120" w:after="0"/>
        <w:rPr>
          <w:lang w:val="el" w:eastAsia="el"/>
        </w:rPr>
      </w:pPr>
      <w:r>
        <w:rPr>
          <w:lang w:val="el" w:eastAsia="el"/>
        </w:rPr>
        <w:t>ββ)</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Αυγούστου 2020,</w:t>
      </w:r>
    </w:p>
    <w:p>
      <w:pPr>
        <w:pStyle w:val="StructureList1"/>
        <w:spacing w:before="120" w:after="0"/>
        <w:rPr>
          <w:lang w:val="el" w:eastAsia="el"/>
        </w:rPr>
      </w:pPr>
      <w:r>
        <w:rPr>
          <w:lang w:val="el" w:eastAsia="el"/>
        </w:rPr>
        <w:t>γγ)</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spacing w:before="240" w:after="240"/>
        <w:rPr>
          <w:lang w:val="el" w:eastAsia="el"/>
        </w:rPr>
      </w:pPr>
      <w:r>
        <w:rPr>
          <w:lang w:val="el" w:eastAsia="el"/>
        </w:rPr>
        <w:t>οι οποίες πληρούν σωρευτικά τα κριτήρια της επόμενης παραγράφου, καθώς και την προϋπόθεση της παραγράφου 3.</w:t>
      </w:r>
    </w:p>
    <w:p>
      <w:pPr>
        <w:pStyle w:val="MainText"/>
        <w:spacing w:before="120" w:after="0"/>
        <w:rPr>
          <w:lang w:val="el" w:eastAsia="el"/>
        </w:rPr>
      </w:pPr>
      <w:r>
        <w:rPr>
          <w:b/>
          <w:bCs/>
          <w:lang w:val="el" w:eastAsia="el"/>
        </w:rPr>
        <w:t>2.</w:t>
      </w:r>
      <w:r>
        <w:rPr>
          <w:lang w:val="el" w:eastAsia="el"/>
        </w:rPr>
        <w:t xml:space="preserve"> Οι επιχειρήσεις της προηγούμενης παραγράφου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μόνιμη εγκατάσταση στην Ελλάδα, λειτουργούν νομίμως, έχουν πληγεί οικονομικά λόγω της εμφάνισης και διάδοσης του COVID-19 και έχουν εκδηλώσει ενδιαφέρον στην ειδική πλατφόρμα «myBusinessSupport», σύμφωνα με την υπό στοιχεία ΓΔΟΥ207/10.09.2020 (Β’3867) κοινή απόφαση των Υπουργών Οικονομικών και Ανάπτυξης και Επενδύσεων, όπως ισχύει.</w:t>
      </w:r>
    </w:p>
    <w:p>
      <w:pPr>
        <w:pStyle w:val="StructureList1"/>
        <w:spacing w:before="120" w:after="0"/>
        <w:rPr>
          <w:lang w:val="el" w:eastAsia="el"/>
        </w:rPr>
      </w:pPr>
      <w:r>
        <w:rPr>
          <w:lang w:val="el" w:eastAsia="el"/>
        </w:rPr>
        <w:t>β)</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μέχρι και την έναρξη ισχύος της παρούσας απόφασης, έχουν υποβάλει δήλωση φορολογίας εισοδήματος για το φορολογικό έτος 2018,</w:t>
      </w:r>
    </w:p>
    <w:p>
      <w:pPr>
        <w:pStyle w:val="StructureList1"/>
        <w:spacing w:before="120" w:after="0"/>
        <w:rPr>
          <w:lang w:val="el" w:eastAsia="el"/>
        </w:rPr>
      </w:pPr>
      <w:r>
        <w:rPr>
          <w:lang w:val="el" w:eastAsia="el"/>
        </w:rPr>
        <w:t>ββ)</w:t>
      </w:r>
      <w:r>
        <w:rPr>
          <w:lang w:val="en" w:eastAsia="en"/>
        </w:rPr>
        <w:tab/>
      </w:r>
      <w:r>
        <w:rPr>
          <w:lang w:val="el" w:eastAsia="el"/>
        </w:rPr>
        <w:t>μέχρι και την έναρξη ισχύος της παρούσας απόφασης, έχουν υποβάλει όλες τις δηλώσεις ΦΠΑ για την περίοδο από 1η Ιανουαρίου 2019 μέχρι 30η Ιουνίου 2020.</w:t>
      </w:r>
    </w:p>
    <w:p>
      <w:pPr>
        <w:pStyle w:val="StructureList1"/>
        <w:spacing w:before="120" w:after="0"/>
        <w:rPr>
          <w:lang w:val="el" w:eastAsia="el"/>
        </w:rPr>
      </w:pPr>
      <w:r>
        <w:rPr>
          <w:lang w:val="el" w:eastAsia="el"/>
        </w:rPr>
        <w:t>γ)</w:t>
      </w:r>
      <w:r>
        <w:rPr>
          <w:lang w:val="en" w:eastAsia="en"/>
        </w:rPr>
        <w:tab/>
      </w:r>
      <w:r>
        <w:rPr>
          <w:lang w:val="el" w:eastAsia="el"/>
        </w:rPr>
        <w:t>Δεν έχουν τεθεί σε αδράνεια από την 1η Απριλίου 2019 μέχρι και την έναρξη ισχύος της παρούσας απόφασης,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δ)</w:t>
      </w:r>
      <w:r>
        <w:rPr>
          <w:lang w:val="en" w:eastAsia="en"/>
        </w:rPr>
        <w:tab/>
      </w:r>
      <w:r>
        <w:rPr>
          <w:lang w:val="el" w:eastAsia="el"/>
        </w:rPr>
        <w:t>Δεν έχει ανασταλεί, μέχρι και την έναρξη ισχύος της παρούσας, η χρήση του ΑΦΜ της επιχείρησης για τη διενέργεια ενδοκοινοτικών συναλλαγών σύμφωνα με την απόφαση ΓΓΔΕ ΠΟΛ. 1200/2015,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ε)</w:t>
      </w:r>
      <w:r>
        <w:rPr>
          <w:lang w:val="en" w:eastAsia="en"/>
        </w:rPr>
        <w:tab/>
      </w:r>
      <w:r>
        <w:rPr>
          <w:lang w:val="el" w:eastAsia="el"/>
        </w:rPr>
        <w:t>Παρουσιάζουν μείωση του κύκλου εργασιών τους, ως ακολούθως:</w:t>
      </w:r>
    </w:p>
    <w:p>
      <w:pPr>
        <w:pStyle w:val="StructureList1"/>
        <w:spacing w:before="120" w:after="0"/>
        <w:rPr>
          <w:lang w:val="el" w:eastAsia="el"/>
        </w:rPr>
      </w:pPr>
      <w:r>
        <w:rPr>
          <w:lang w:val="el" w:eastAsia="el"/>
        </w:rPr>
        <w:t>αα)</w:t>
      </w:r>
      <w:r>
        <w:rPr>
          <w:lang w:val="en" w:eastAsia="en"/>
        </w:rPr>
        <w:tab/>
      </w:r>
      <w:r>
        <w:rPr>
          <w:lang w:val="el" w:eastAsia="el"/>
        </w:rPr>
        <w:t>για τις επιχειρήσεις που είναι υποκείμενες σε ΦΠΑ το άθροισμα του κύκλου εργασιών μηνών Μαρτίου, Απριλίου, Μαΐου, Ιουνίου, Ιουλίου και Αυγούστου 2020 όπως αυτός έχει δηλωθεί στην ειδική πλατφόρμα «myBusinessSupport», παρουσιάζει μείωση κατά 10,00% τουλάχιστον σε σχέση με τον κύκλο εργασιών αναφοράς και επιπλέον ο κύκλος εργασιών αναφοράς είναι μεγαλύτερος από χίλια (1000) ευρώ,</w:t>
      </w:r>
    </w:p>
    <w:p>
      <w:pPr>
        <w:pStyle w:val="StructureList1"/>
        <w:spacing w:before="120" w:after="0"/>
        <w:rPr>
          <w:lang w:val="el" w:eastAsia="el"/>
        </w:rPr>
      </w:pPr>
      <w:r>
        <w:rPr>
          <w:lang w:val="el" w:eastAsia="el"/>
        </w:rPr>
        <w:t>ββ)</w:t>
      </w:r>
      <w:r>
        <w:rPr>
          <w:lang w:val="en" w:eastAsia="en"/>
        </w:rPr>
        <w:tab/>
      </w:r>
      <w:r>
        <w:rPr>
          <w:lang w:val="el" w:eastAsia="el"/>
        </w:rPr>
        <w:t>για τις επιχειρήσεις που δεν είναι υποκείμενες σε ΦΠΑ ή είναι υποκείμενες και απαλλασσόμενες το άθροισμα των ακαθάριστων εσόδων μηνών Μαρτίου, Απριλίου, Μαΐου, Ιουνίου, Ιουλίου και Αυγούστου 2020 όπως αυτά έχουν δηλωθεί στην ειδική πλατφόρμα «myBusinessSupport», παρουσιάζει μείωση κατά 10,00% τουλάχιστον, σε σχέση με τα ακαθάριστα έσοδα αναφοράς και επιπλέον τα ακαθάριστα έσοδα αναφοράς είναι μεγαλύτερα από χίλια (1000) ευρώ.</w:t>
      </w:r>
    </w:p>
    <w:p>
      <w:pPr>
        <w:spacing w:before="240" w:after="240"/>
        <w:rPr>
          <w:lang w:val="el" w:eastAsia="el"/>
        </w:rPr>
      </w:pPr>
      <w:r>
        <w:rPr>
          <w:lang w:val="el" w:eastAsia="el"/>
        </w:rPr>
        <w:t>Ειδικά οι επιχειρήσεις που έχουν την έδρα τους στον Δήμο Μεσαπείων και στις Δημοτικές Ενότητες Νέας Αρτάκης και Ληλαντίων του Δήμου Χαλκιδέων δύναται να είναι δικαιούχοι - λήπτες της ενίσχυσης, και στην περίπτωση που δεν παρουσιάζουν μείωση του κύκλου εργασιών τους κατά τα αναφερόμενα στην περίπτωση ε), δυνάμει του Κανονισμού De minimis 1407/2013 και εφόσον πληρούνται οι προϋποθέσεις που τίθενται σε αυτόν.</w:t>
      </w:r>
    </w:p>
    <w:p>
      <w:pPr>
        <w:spacing w:before="240" w:after="240"/>
        <w:rPr>
          <w:lang w:val="el" w:eastAsia="el"/>
        </w:rPr>
      </w:pPr>
      <w:r>
        <w:rPr>
          <w:lang w:val="el" w:eastAsia="el"/>
        </w:rPr>
        <w:t>Στις ανωτέρω υπό αα) και ββ) υποπεριπτώσεις, διενεργείται στρογγυλοποίηση των ποσοστών μείωσης σε σχέση με τον κύκλο εργασιών αναφοράς ή με τα ακαθάριστα έσοδα αναφοράς, αντίστοιχα, στο δεύτερο ποσοστιαίο δεκαδικό ψηφίο.</w:t>
      </w:r>
    </w:p>
    <w:p>
      <w:pPr>
        <w:pStyle w:val="StructureList1"/>
        <w:spacing w:before="120" w:after="0"/>
        <w:rPr>
          <w:lang w:val="el" w:eastAsia="el"/>
        </w:rPr>
      </w:pPr>
      <w:r>
        <w:rPr>
          <w:lang w:val="el" w:eastAsia="el"/>
        </w:rPr>
        <w:t>στ)</w:t>
      </w:r>
      <w:r>
        <w:rPr>
          <w:lang w:val="en" w:eastAsia="en"/>
        </w:rPr>
        <w:tab/>
      </w:r>
      <w:r>
        <w:rPr>
          <w:lang w:val="el" w:eastAsia="el"/>
        </w:rPr>
        <w:t>Δεν συντρέχουν οι λόγοι αποκλεισμού της παρ. 1 του άρθρου 40 του ν. 4488/2017 (Α’137).</w:t>
      </w:r>
    </w:p>
    <w:p>
      <w:pPr>
        <w:pStyle w:val="MainText"/>
        <w:spacing w:before="120" w:after="0"/>
        <w:rPr>
          <w:lang w:val="el" w:eastAsia="el"/>
        </w:rPr>
      </w:pPr>
      <w:r>
        <w:rPr>
          <w:b/>
          <w:bCs/>
          <w:lang w:val="el" w:eastAsia="el"/>
        </w:rPr>
        <w:t>3.</w:t>
      </w:r>
      <w:r>
        <w:rPr>
          <w:lang w:val="el" w:eastAsia="el"/>
        </w:rPr>
        <w:t xml:space="preserve"> Επιπλέον των κριτηρίων της παρ. 2, οι επιχειρήσεις πρέπει να πληρούν τις κάτωθι προϋποθέσεις, κατά περίπτωση:</w:t>
      </w:r>
    </w:p>
    <w:p>
      <w:pPr>
        <w:pStyle w:val="StructureList1"/>
        <w:spacing w:before="120" w:after="0"/>
        <w:rPr>
          <w:lang w:val="el" w:eastAsia="el"/>
        </w:rPr>
      </w:pPr>
      <w:r>
        <w:rPr>
          <w:lang w:val="el" w:eastAsia="el"/>
        </w:rPr>
        <w:t>α)</w:t>
      </w:r>
      <w:r>
        <w:rPr>
          <w:lang w:val="en" w:eastAsia="en"/>
        </w:rPr>
        <w:tab/>
      </w:r>
      <w:r>
        <w:rPr>
          <w:lang w:val="el" w:eastAsia="el"/>
        </w:rPr>
        <w:t>Εφόσον αιτούνται ενίσχυσης δυνάμει του Προσωρινού Πλαισίου, να μην έχουν στη διάθεσή τους προηγούμενη ενίσχυση η οποία έχει κηρυχθεί ασυμβίβαστη με απόφαση της Ευρωπαϊκής Επιτροπής, και επιπλέον , αα) οι μεγάλες και μεσαίες επιχειρήσεις να μην ήταν προβληματικές κατά την έννοια του υπ’ αρ. 651/2014 Κανονισμού στις 31 Δεκεμβρίου 2019, και</w:t>
      </w:r>
    </w:p>
    <w:p>
      <w:pPr>
        <w:pStyle w:val="StructureList1"/>
        <w:spacing w:before="120" w:after="0"/>
        <w:rPr>
          <w:lang w:val="el" w:eastAsia="el"/>
        </w:rPr>
      </w:pPr>
      <w:r>
        <w:rPr>
          <w:lang w:val="el" w:eastAsia="el"/>
        </w:rPr>
        <w:t>ββ)</w:t>
      </w:r>
      <w:r>
        <w:rPr>
          <w:lang w:val="en" w:eastAsia="en"/>
        </w:rPr>
        <w:tab/>
      </w:r>
      <w:r>
        <w:rPr>
          <w:lang w:val="el" w:eastAsia="el"/>
        </w:rPr>
        <w:t>οι μικρές και πολύ μικρές επιχειρήσεις, όπως ορίζονται στην παρ. 9 του άρθρου 2 της παρούσας, κατά τη στιγμή χορήγηση της ενίσχυσης:</w:t>
      </w:r>
    </w:p>
    <w:p>
      <w:pPr>
        <w:pStyle w:val="StructureList1"/>
        <w:spacing w:before="120" w:after="0"/>
        <w:rPr>
          <w:lang w:val="el" w:eastAsia="el"/>
        </w:rPr>
      </w:pPr>
      <w:r>
        <w:rPr>
          <w:lang w:val="el" w:eastAsia="el"/>
        </w:rPr>
        <w:t>i)</w:t>
      </w:r>
      <w:r>
        <w:rPr>
          <w:lang w:val="en" w:eastAsia="en"/>
        </w:rPr>
        <w:tab/>
      </w:r>
      <w:r>
        <w:rPr>
          <w:lang w:val="el" w:eastAsia="el"/>
        </w:rPr>
        <w:t>να μην υπάγονται σε συλλογική πτωχευτική διαδικασία και</w:t>
      </w:r>
    </w:p>
    <w:p>
      <w:pPr>
        <w:pStyle w:val="StructureList1"/>
        <w:spacing w:before="120" w:after="0"/>
        <w:rPr>
          <w:lang w:val="el" w:eastAsia="el"/>
        </w:rPr>
      </w:pPr>
      <w:r>
        <w:rPr>
          <w:lang w:val="el" w:eastAsia="el"/>
        </w:rPr>
        <w:t>ii)</w:t>
      </w:r>
      <w:r>
        <w:rPr>
          <w:lang w:val="en" w:eastAsia="en"/>
        </w:rPr>
        <w:tab/>
      </w:r>
      <w:r>
        <w:rPr>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spacing w:before="240" w:after="240"/>
        <w:rPr>
          <w:lang w:val="el" w:eastAsia="el"/>
        </w:rPr>
      </w:pPr>
      <w:r>
        <w:rPr>
          <w:lang w:val="el" w:eastAsia="el"/>
        </w:rPr>
        <w:t>Ο έλεγχος της εν λόγω προϋπόθεσης γίνεται και σε επίπεδο ενιαίας επιχείρησης.</w:t>
      </w:r>
    </w:p>
    <w:p>
      <w:pPr>
        <w:pStyle w:val="StructureList1"/>
        <w:spacing w:before="120" w:after="0"/>
        <w:rPr>
          <w:lang w:val="el" w:eastAsia="el"/>
        </w:rPr>
      </w:pPr>
      <w:r>
        <w:rPr>
          <w:lang w:val="el" w:eastAsia="el"/>
        </w:rPr>
        <w:t>β)</w:t>
      </w:r>
      <w:r>
        <w:rPr>
          <w:lang w:val="en" w:eastAsia="en"/>
        </w:rPr>
        <w:tab/>
      </w:r>
      <w:r>
        <w:rPr>
          <w:lang w:val="el" w:eastAsia="el"/>
        </w:rPr>
        <w:t>Εφόσον αιτούνται ενίσχυσης δυνάμει του Κανονισμού de minimis, πρέπει να μην δραστηριοποιούνται στην πρωτογενή παραγωγή γεωργικών προϊόντων, ή στους τομείς της αλιείας και της υδατοκαλλιέργειας. Επιχειρήσεις που έχουν μικτή δραστηριότητα, ήτοι δραστηριοποιούνται σε κάποιον από τους εν λόγω μη επιλέξιμους για ενίσχυση τομείς, και επίσης σε τομέα επιλέξιμο για ενίσχυση βάσει του υπ’ αρ. 1407/13 Κανονισμού (ΕΕ), δύναται να λάβουν ενίσχυση στο πλαίσιο της παρούσας δυνάμει του εν λόγω Κανονισμού για την επιλέξιμη δραστηριότητά τους, με τις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η εν λόγω δραστηριότητα εμφανίζει τα μεγαλύτερα έσοδα, όπως αυτό προκύπτει από τη δήλωση φόρου εισοδήματος φορολογικού έτους 2018, ή αποτελεί την κύρια δραστηριότητα βάσει κύριου ΚΑΔ εφόσον πρόκειται για επιχείρηση που έχει συσταθεί μετά την 1η Ιανουαρίου 2019 και</w:t>
      </w:r>
    </w:p>
    <w:p>
      <w:pPr>
        <w:pStyle w:val="StructureList1"/>
        <w:spacing w:before="120" w:after="0"/>
        <w:rPr>
          <w:lang w:val="el" w:eastAsia="el"/>
        </w:rPr>
      </w:pPr>
      <w:r>
        <w:rPr>
          <w:lang w:val="el" w:eastAsia="el"/>
        </w:rPr>
        <w:t>ββ)</w:t>
      </w:r>
      <w:r>
        <w:rPr>
          <w:lang w:val="en" w:eastAsia="en"/>
        </w:rPr>
        <w:tab/>
      </w:r>
      <w:r>
        <w:rPr>
          <w:lang w:val="el" w:eastAsia="el"/>
        </w:rPr>
        <w:t>διασφαλίζεται με κατάλληλα μέσα, όπως ο λογιστικός διαχωρισμός των δραστηριοτήτων ή η διάκριση του κόστους, ότι οι δραστηριότητες στους μη επιλέξιμους τομείς δεν τυγχάνουν ενίσχυσης.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Ύψος ενίσχυσης</w:t>
      </w:r>
    </w:p>
    <w:p>
      <w:pPr>
        <w:pStyle w:val="MainText"/>
        <w:spacing w:before="120" w:after="0"/>
        <w:rPr>
          <w:lang w:val="el" w:eastAsia="el"/>
        </w:rPr>
      </w:pPr>
      <w:r>
        <w:rPr>
          <w:b/>
          <w:bCs/>
          <w:lang w:val="el" w:eastAsia="el"/>
        </w:rPr>
        <w:t>1.</w:t>
      </w:r>
      <w:r>
        <w:rPr>
          <w:lang w:val="el" w:eastAsia="el"/>
        </w:rPr>
        <w:t xml:space="preserve"> Το ύψος της ενίσχυσης προσδιορίζεται τυποποιημένα,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w:t>
      </w:r>
    </w:p>
    <w:p>
      <w:pPr>
        <w:spacing w:before="240" w:after="240"/>
        <w:rPr>
          <w:lang w:val="el" w:eastAsia="el"/>
        </w:rPr>
      </w:pPr>
      <w:r>
        <w:rPr>
          <w:lang w:val="el" w:eastAsia="el"/>
        </w:rPr>
        <w:t>Ενίσχυση = [(Κύκλος εργασιών αναφοράς - Άθροισμα κύκλου εργασιών μηνών Μαρτίου, Απριλίου, Μαΐου, Ιουνίου, Ιουλίου και Αυγούστου 2020) × ποσοστιαία διαφορά εκροών εισροών] - [αποζημιώσεις εργαζομένων σε αναστολή] - ποσό που έλαβε η επιχείρηση δυνάμει της υπό στοιχεία ΓΔΟΥ 94/2.5.2020 (Β’ 1645) απόφασης όπως ισχύειποσό που έλαβε η επιχείρηση δυνάμει της υπό στοιχεία ΓΔΟΥ148/03.07.2020 (Β’ 2729) απόφασης όπως ισχύει,</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αα)</w:t>
      </w:r>
      <w:r>
        <w:rPr>
          <w:lang w:val="en" w:eastAsia="en"/>
        </w:rPr>
        <w:tab/>
      </w:r>
      <w:r>
        <w:rPr>
          <w:lang w:val="el" w:eastAsia="el"/>
        </w:rPr>
        <w:t>Ο κύκλος εργασιών μηνών Μαρτίου, Απριλίου, Μαΐου, Ιουνίου, Ιουλίου και Αυγούστου 2020 και ο κύκλος εργασιών αναφοράς, όπως ορίζονται στην παρούσα απόφαση.</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εκροών εισροών ισούται με το συνολικό κύκλο εργασιών ΦΠΑ (κωδικός 312 δήλωσης ΦΠΑ) του έτους 2019 αφαιρουμένου του συνόλου φορολογητέων εισροών (κωδικός 367 δήλωση ΦΠΑ) του έτους 2019, διαιρεμένου με το συνολικό κύκλο εργασιών ΦΠΑ του έτους 2019. Σε περίπτωση που η ποσοστιαία διαφορά εκροών εισροών είναι μικρότερη του 20% ή ο συνολικός κύκλος εργασιών ΦΠΑ του έτους 2019 είναι μηδενικός, θεωρείται ίση με 20%.</w:t>
      </w:r>
    </w:p>
    <w:p>
      <w:pPr>
        <w:pStyle w:val="StructureList1"/>
        <w:spacing w:before="120" w:after="0"/>
        <w:rPr>
          <w:lang w:val="el" w:eastAsia="el"/>
        </w:rPr>
      </w:pPr>
      <w:r>
        <w:rPr>
          <w:lang w:val="el" w:eastAsia="el"/>
        </w:rPr>
        <w:t>γγ)</w:t>
      </w:r>
      <w:r>
        <w:rPr>
          <w:lang w:val="en" w:eastAsia="en"/>
        </w:rPr>
        <w:tab/>
      </w:r>
      <w:r>
        <w:rPr>
          <w:lang w:val="el" w:eastAsia="el"/>
        </w:rPr>
        <w:t>Οι αποζημιώσεις εργαζομένων σε αναστολή, αναφέρονται στο άθροισμα των ποσών ως αποζημίωση ειδικού σκοπού που αναλογούν στους εργαζομένους της επιχείρησης οι οποίοι τέθηκαν σε προσωρινή αναστολή σύμβασης εργασίας, από 1η Μαρτίου 2020 έως 31η Ιουλίου 2020, σύμφωνα με τις δηλώσεις εργοδοτών όπως τηρούνται στο πληροφοριακό σύστημα ΕΡΓΑΝΗ. Τα ποσά υπολογίζονται ανά επιχείρηση σε μηνιαία βάση, ως το ποσοστό των ημερών για κάθε μήνα που ήταν σε αναστολή εργασίας κάθε εργαζόμενος, πολλαπλασιαζόμενο με 534.</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δεν είναι υποκείμενες σε ΦΠΑ ή είναι υποκείμενες και απαλλασσόμενες από το ΦΠΑ:</w:t>
      </w:r>
    </w:p>
    <w:p>
      <w:pPr>
        <w:spacing w:before="240" w:after="240"/>
        <w:rPr>
          <w:lang w:val="el" w:eastAsia="el"/>
        </w:rPr>
      </w:pPr>
      <w:r>
        <w:rPr>
          <w:lang w:val="el" w:eastAsia="el"/>
        </w:rPr>
        <w:t>Ενίσχυση = [(Ακαθάριστα έσοδα αναφοράς - Ακαθάριστα έσοδα μηνών Μαρτίου, Απριλίου, Μαΐου, Ιουνίου, Ιουλίου και Αυγούστου 2020) × ποσοστιαία διαφορά εσόδων εξόδων] - [αποζημιώσεις εργαζομένων σε αναστολή] - ποσό που έλαβε η επιχείρηση δυνάμει της υπό στοιχεία ΓΔΟΥ 94/2.5.2020 (Β’ 1645) απόφασης όπως ισχύειποσό που έλαβε η επιχείρηση δυνάμει της υπό στοιχεία ΓΔΟΥ148/03.07.2020 (Β’ 2729) απόφασης όπως ισχύει,</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αα)</w:t>
      </w:r>
      <w:r>
        <w:rPr>
          <w:lang w:val="en" w:eastAsia="en"/>
        </w:rPr>
        <w:tab/>
      </w:r>
      <w:r>
        <w:rPr>
          <w:lang w:val="el" w:eastAsia="el"/>
        </w:rPr>
        <w:t>Τα ακαθάριστα έσοδα μηνών Μαρτίου, Απριλίου, Μαΐου, Ιουνίου, Ιουλίου και Αυγούστου 2020 και τα ακαθάριστα έσοδα αναφοράς, όπως ορίζονται στην παρούσα απόφαση.</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εσόδων εξόδων ισούται με τα ακαθάριστα έσοδα (κωδικός 047 δήλωσης Ε3) του έτους 2019 αφαιρουμένων των εξόδων του έτους 2019, διαιρεμένων με τα ακαθάριστα έσοδα του έτους 2019. Ως έξοδα λογίζονται τα συνολικά έξοδα (κωδικός 580 δήλωσης Ε3) μειούμενα κατά το ποσό των παροχών σε εργαζομένους (κωδικός 581 δήλωσης Ε3) και των διάφορων λειτουργικών εξόδων κατά το μέρος που αφορά δαπάνες ενοικίου (κωδικός 585 α/α 14 της ηλεκτρονικής δήλωσης Ε3). Σε περίπτωση που η ποσοστιαία διαφορά εσόδων εξόδων είναι μικρότερη του 20% ή τα συνολικά ακαθάριστα έσοδα του έτους 2019 είναι μηδενικά, θεωρείται ίση με 20%.</w:t>
      </w:r>
    </w:p>
    <w:p>
      <w:pPr>
        <w:pStyle w:val="StructureList1"/>
        <w:spacing w:before="120" w:after="0"/>
        <w:rPr>
          <w:lang w:val="el" w:eastAsia="el"/>
        </w:rPr>
      </w:pPr>
      <w:r>
        <w:rPr>
          <w:lang w:val="el" w:eastAsia="el"/>
        </w:rPr>
        <w:t>γγ)</w:t>
      </w:r>
      <w:r>
        <w:rPr>
          <w:lang w:val="en" w:eastAsia="en"/>
        </w:rPr>
        <w:tab/>
      </w:r>
      <w:r>
        <w:rPr>
          <w:lang w:val="el" w:eastAsia="el"/>
        </w:rPr>
        <w:t>Οι αποζημιώσεις εργαζομένων σε αναστολή, αναφέρονται στο άθροισμα των ποσών ως αποζημίωση ειδικού σκοπού που αναλογούν στους εργαζομένους της επιχείρησης οι οποίοι τέθηκαν σε προσωρινή αναστολή σύμβασης εργασίας, από 1η Μαρτίου 2020 έως 31η Ιουλίου 2020, σύμφωνα με τις δηλώσεις εργοδοτών όπως τηρούνται στο πληροφοριακό σύστημα ΕΡΓΑΝΗ. Τα ποσά υπολογίζονται ανά επιχείρηση σε μηνιαία βάση, ως το ποσοστό των ημερών για κάθε μήνα που ήταν σε αναστολή εργασίας κάθε εργαζόμενος, πολλαπλασιαζόμενο με 534.</w:t>
      </w:r>
    </w:p>
    <w:p>
      <w:pPr>
        <w:spacing w:before="240" w:after="240"/>
        <w:rPr>
          <w:lang w:val="el" w:eastAsia="el"/>
        </w:rPr>
      </w:pPr>
      <w:r>
        <w:rPr>
          <w:lang w:val="el" w:eastAsia="el"/>
        </w:rPr>
        <w:t>Σε όλες τις υποπεριπτώσεις των περιπτώσεων της παρούσας παραγράφου, για τον υπολογισμό των ποσοστιαίων διαφορών εκροών - εισροών ή εσόδων - εξόδων, κατά περίπτωση, διενεργείται στρογγυλοποίηση στο πρώτο ποσοστιαίο δεκαδικό ψηφίο.</w:t>
      </w:r>
    </w:p>
    <w:p>
      <w:pPr>
        <w:pStyle w:val="MainText"/>
        <w:spacing w:before="120" w:after="0"/>
        <w:rPr>
          <w:lang w:val="el" w:eastAsia="el"/>
        </w:rPr>
      </w:pPr>
      <w:r>
        <w:rPr>
          <w:b/>
          <w:bCs/>
          <w:lang w:val="el" w:eastAsia="el"/>
        </w:rPr>
        <w:t>2.</w:t>
      </w:r>
      <w:r>
        <w:rPr>
          <w:lang w:val="el" w:eastAsia="el"/>
        </w:rPr>
        <w:t xml:space="preserve"> Η ενίσχυση που προκύπτει από την παρ. 1 του παρόντος άρθρου δεν μπορεί να είναι κατώτερη των ακόλουθων ορίων, με την επιφύλαξη των προϋποθέσεων του άρθρου 5 της παρούσας:</w:t>
      </w:r>
    </w:p>
    <w:p>
      <w:pPr>
        <w:pStyle w:val="StructureList1"/>
        <w:spacing w:before="120" w:after="0"/>
        <w:rPr>
          <w:lang w:val="el" w:eastAsia="el"/>
        </w:rPr>
      </w:pPr>
      <w:r>
        <w:rPr>
          <w:lang w:val="el" w:eastAsia="el"/>
        </w:rPr>
        <w:t>α)</w:t>
      </w:r>
      <w:r>
        <w:rPr>
          <w:lang w:val="en" w:eastAsia="en"/>
        </w:rPr>
        <w:tab/>
      </w:r>
      <w:r>
        <w:rPr>
          <w:lang w:val="el" w:eastAsia="el"/>
        </w:rPr>
        <w:t>δύο χιλιάδες (2.000) ευρώ για επιχειρήσεις δικαιούχους που δεν απασχολούν εργαζόμενους με σχέση εξαρτημένης εργασίας την 1η Αυγούστου 2020,</w:t>
      </w:r>
    </w:p>
    <w:p>
      <w:pPr>
        <w:pStyle w:val="StructureList1"/>
        <w:spacing w:before="120" w:after="0"/>
        <w:rPr>
          <w:lang w:val="el" w:eastAsia="el"/>
        </w:rPr>
      </w:pPr>
      <w:r>
        <w:rPr>
          <w:lang w:val="el" w:eastAsia="el"/>
        </w:rPr>
        <w:t>β)</w:t>
      </w:r>
      <w:r>
        <w:rPr>
          <w:lang w:val="en" w:eastAsia="en"/>
        </w:rPr>
        <w:tab/>
      </w:r>
      <w:r>
        <w:rPr>
          <w:lang w:val="el" w:eastAsia="el"/>
        </w:rPr>
        <w:t>τέσσερις χιλιάδες (4.000) ευρώ για επιχειρήσεις δικαιούχους που απασχολούν έναν (1) έως πέντε (5) εργαζόμενους με σχέση εξαρτημένης εργασίας την 1η Αυγούστου 2020,</w:t>
      </w:r>
    </w:p>
    <w:p>
      <w:pPr>
        <w:pStyle w:val="StructureList1"/>
        <w:spacing w:before="120" w:after="0"/>
        <w:rPr>
          <w:lang w:val="el" w:eastAsia="el"/>
        </w:rPr>
      </w:pPr>
      <w:r>
        <w:rPr>
          <w:lang w:val="el" w:eastAsia="el"/>
        </w:rPr>
        <w:t>γ)</w:t>
      </w:r>
      <w:r>
        <w:rPr>
          <w:lang w:val="en" w:eastAsia="en"/>
        </w:rPr>
        <w:tab/>
      </w:r>
      <w:r>
        <w:rPr>
          <w:lang w:val="el" w:eastAsia="el"/>
        </w:rPr>
        <w:t>οχτώ χιλιάδες (8.000) ευρώ για επιχειρήσεις δικαιούχους που απασχολούν έξι (6) έως είκοσι (20) εργαζόμενους με σχέση εξαρτημένης εργασίας την 1η Αυγούστου 2020,</w:t>
      </w:r>
    </w:p>
    <w:p>
      <w:pPr>
        <w:pStyle w:val="StructureList1"/>
        <w:spacing w:before="120" w:after="0"/>
        <w:rPr>
          <w:lang w:val="el" w:eastAsia="el"/>
        </w:rPr>
      </w:pPr>
      <w:r>
        <w:rPr>
          <w:lang w:val="el" w:eastAsia="el"/>
        </w:rPr>
        <w:t>δ)</w:t>
      </w:r>
      <w:r>
        <w:rPr>
          <w:lang w:val="en" w:eastAsia="en"/>
        </w:rPr>
        <w:tab/>
      </w:r>
      <w:r>
        <w:rPr>
          <w:lang w:val="el" w:eastAsia="el"/>
        </w:rPr>
        <w:t>δεκαπέντε (15.000) ευρώ για επιχειρήσεις δικαιούχους που απασχολούν είκοσι ένα (21) έως πενήντα (50) εργαζόμενους με σχέση εξαρτημένης εργασίας την 1η Αυγούστου 2020,</w:t>
      </w:r>
    </w:p>
    <w:p>
      <w:pPr>
        <w:pStyle w:val="StructureList1"/>
        <w:spacing w:before="120" w:after="0"/>
        <w:rPr>
          <w:lang w:val="el" w:eastAsia="el"/>
        </w:rPr>
      </w:pPr>
      <w:r>
        <w:rPr>
          <w:lang w:val="el" w:eastAsia="el"/>
        </w:rPr>
        <w:t>ε)</w:t>
      </w:r>
      <w:r>
        <w:rPr>
          <w:lang w:val="en" w:eastAsia="en"/>
        </w:rPr>
        <w:tab/>
      </w:r>
      <w:r>
        <w:rPr>
          <w:lang w:val="el" w:eastAsia="el"/>
        </w:rPr>
        <w:t>τριάντα χιλιάδες (30.000) ευρώ για επιχειρήσεις δικαιούχους που απασχολούν άνω των πενήντα (50) εργαζομένων με σχέση εξαρτημένης εργασίας την 1η Αυγούστου 2020.</w:t>
      </w:r>
    </w:p>
    <w:p>
      <w:pPr>
        <w:pStyle w:val="StructureList1"/>
        <w:spacing w:before="120" w:after="0"/>
        <w:rPr>
          <w:lang w:val="el" w:eastAsia="el"/>
        </w:rPr>
      </w:pPr>
      <w:r>
        <w:rPr>
          <w:lang w:val="el" w:eastAsia="el"/>
        </w:rPr>
        <w:t>στ)</w:t>
      </w:r>
      <w:r>
        <w:rPr>
          <w:lang w:val="en" w:eastAsia="en"/>
        </w:rPr>
        <w:tab/>
      </w:r>
      <w:r>
        <w:rPr>
          <w:lang w:val="el" w:eastAsia="el"/>
        </w:rPr>
        <w:t>Ειδικά για τις επιχειρήσεις που έλαβαν ενίσχυση κατά τον πρώτο ή τον δεύτερο κύκλο της επιστρεπτέας προκαταβολής, δυνάμει των υπό στοιχεία ΓΔΟΥ 94/2020 (Β’ 1645) και ΓΔΟΥ148/03.07.2020 (Β’ 2729) αποφάσεων των Υπουργών Οικονομικών και Ανάπτυξης και Επενδύσεων, όπως ισχύουν, δεν εφαρμόζονται τα όρια των περιπτώσεων α ως και ε της παρούσας παραγράφου και η ενίσχυση που προκύπτει από την παρ. 1 δεν μπορεί να είναι κατώτερη των 2.000 ευρώ, ανεξαρτήτως αριθμού εργαζομένων.</w:t>
      </w:r>
    </w:p>
    <w:p>
      <w:pPr>
        <w:pStyle w:val="MainText"/>
        <w:spacing w:before="120" w:after="0"/>
        <w:rPr>
          <w:lang w:val="el" w:eastAsia="el"/>
        </w:rPr>
      </w:pPr>
      <w:r>
        <w:rPr>
          <w:b/>
          <w:bCs/>
          <w:lang w:val="el" w:eastAsia="el"/>
        </w:rPr>
        <w:t>3.</w:t>
      </w:r>
      <w:r>
        <w:rPr>
          <w:lang w:val="el" w:eastAsia="el"/>
        </w:rPr>
        <w:t xml:space="preserve"> Επιπλέον, η ενίσχυση που προκύπτει από τις παρ. 1 και 2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λαμβάνουν ενίσχυση δυνάμει του Προσωρινού Πλαισίου, το ανώτατο ύψος ενίσχυσης ανά επιχείρηση δεν δύναται να υπερβαίνει το ποσό των τριακοσίων πενήντα χιλιάδων (350.000) ευρώ για τις επιχειρήσεις που απασχολούν έως διακόσια πενήντα (250) άτομα και το ποσό των πεντακοσίων χιλιάδων (500.000) ευρώ για τις επιχειρήσεις που απασχολούν άνω των διακοσίων πενήντα (250) ατόμων κατά την 1η Αυγούστου 2020. Για τις επιχειρήσεις που δραστηριοποιούνται στους τομείς της αλιείας και υδατοκαλλιέργειας, το ανώτατο ύψος ενίσχυσης ανά επιχείρηση δεν δύναται να υπερβαίνει το ποσό των εκατόν είκοσι χιλιάδων (120.000) ευρώ και για τις επιχειρήσεις που δραστηριοποιούνται στους τομείς της πρωτογενούς γεωργικής παραγωγής το ποσό των εκατό χιλιάδων (100.000) ευρώ.</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λαμβάνουν ενίσχυση δυνάμει του Κανονισμού de minimis, το ανώτατο ύψος ενίσχυσης δεν δύναται να υπερβαίνει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ήτοι στον ΚΑΔ 49.41 οδικές μεταφορές εμπορευμάτων, το ποσό των εκατό χιλιάδων (100.000) ευρώ.</w:t>
      </w:r>
    </w:p>
    <w:p>
      <w:pPr>
        <w:pStyle w:val="StructureList1"/>
        <w:spacing w:before="120" w:after="0"/>
        <w:rPr>
          <w:lang w:val="el" w:eastAsia="el"/>
        </w:rPr>
      </w:pPr>
      <w:r>
        <w:rPr>
          <w:lang w:val="el" w:eastAsia="el"/>
        </w:rPr>
        <w:t>γ)</w:t>
      </w:r>
      <w:r>
        <w:rPr>
          <w:lang w:val="en" w:eastAsia="en"/>
        </w:rPr>
        <w:tab/>
      </w:r>
      <w:r>
        <w:rPr>
          <w:lang w:val="el" w:eastAsia="el"/>
        </w:rPr>
        <w:t>Εάν μια επιχείρηση δραστηριοποιείται σε περισσότερους από έναν τομείς για τους οποίους ισχύουν διαφορετικά ανώτατα όρια ενίσχυσης κατά τα ανωτέρω, για τους σκοπούς της παρούσας θεωρείται ότι δραστηριοποιείται στον ΚΑΔ με τα μεγαλύτερα έσοδα, όπως προκύπτει από τη δήλωση φόρου εισοδήματος φορολογικού έτους 2018 ή με βάση τον κύριο ΚΑΔ όπως ισχύει στις 20 Μαρτίου 2020, εφόσον η επιχείρηση έχει συσταθεί μετά την 1η Ιανουαρίου 2019. Επιπλέον, η επιχείρηση διασφαλίζει, με κατάλληλα μέσα όπως ο λογιστικός διαχωρισμός των δραστηριοτήτων ή η διάκριση του κόστους, ότι για καθεμία από τις δραστηριότητες αυτές τηρείται το σχετικό ανώτατο όριο.</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Έλεγχος σώρευσης</w:t>
      </w:r>
    </w:p>
    <w:p>
      <w:pPr>
        <w:pStyle w:val="MainText"/>
        <w:spacing w:before="120" w:after="0"/>
        <w:rPr>
          <w:lang w:val="el" w:eastAsia="el"/>
        </w:rPr>
      </w:pPr>
      <w:r>
        <w:rPr>
          <w:b/>
          <w:bCs/>
          <w:lang w:val="el" w:eastAsia="el"/>
        </w:rPr>
        <w:t>1.</w:t>
      </w:r>
      <w:r>
        <w:rPr>
          <w:lang w:val="el" w:eastAsia="el"/>
        </w:rPr>
        <w:t xml:space="preserve"> Για τις επιχειρήσεις που λαμβάνουν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ελέγχεται σε επίπεδο ενιαίας επιχείρησης, όπως αυτή ορίζεται στο άρθρο 2, και δεν δύναται να υπερβαίνει το ποσό των οχτακοσίων χιλιάδων (800.000) ευρώ. Αντιστοίχως, το συνολικό ποσό ενισχύσεων δεν δύναται να υπερβαίνει το ποσό των εκατόν είκοσι (120.000) ευρώ, σε επίπεδο ενιαίας επιχείρησης, για τις επιχειρήσεις που δραστηριοποιούνται στους τομείς της αλιείας και υδατοκαλλιέργειας και το ποσό των εκατό χιλιάδων (100.000) ευρώ, σε επίπεδο ενιαίας επιχείρησης, για τις επιχειρήσεις που δραστηριοποιούνται στους τομείς της πρωτογενούς γεωργικής παραγωγής.</w:t>
      </w:r>
    </w:p>
    <w:p>
      <w:pPr>
        <w:pStyle w:val="MainText"/>
        <w:spacing w:before="120" w:after="0"/>
        <w:rPr>
          <w:lang w:val="el" w:eastAsia="el"/>
        </w:rPr>
      </w:pPr>
      <w:r>
        <w:rPr>
          <w:b/>
          <w:bCs/>
          <w:lang w:val="el" w:eastAsia="el"/>
        </w:rPr>
        <w:t>2.</w:t>
      </w:r>
      <w:r>
        <w:rPr>
          <w:lang w:val="el" w:eastAsia="el"/>
        </w:rPr>
        <w:t xml:space="preserve"> Για τις επιχειρήσεις που λαμβάνουν ενίσχυση δυνάμει του Κανονισμού de minimis, το συνολικό ποσό ενίσχυσης ήσσονος σημασίας που έχουν λάβει κατά την τριετία 2018-2020 από οποιοδήποτε πρόγραμμα, ελέγχεται σε επίπεδο ενιαίας επιχείρησης, και δεν δύναται να υπερβεί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το ποσό των εκατό χιλιάδων (100.000) ευρώ.</w:t>
      </w:r>
    </w:p>
    <w:p>
      <w:pPr>
        <w:pStyle w:val="MainText"/>
        <w:spacing w:before="120" w:after="0"/>
        <w:rPr>
          <w:lang w:val="el" w:eastAsia="el"/>
        </w:rPr>
      </w:pPr>
      <w:r>
        <w:rPr>
          <w:b/>
          <w:bCs/>
          <w:lang w:val="el" w:eastAsia="el"/>
        </w:rPr>
        <w:t>3.</w:t>
      </w:r>
      <w:r>
        <w:rPr>
          <w:lang w:val="el" w:eastAsia="el"/>
        </w:rPr>
        <w:t xml:space="preserve"> Ο έλεγχος της σώρευσης διενεργείται σε πρώτη φάση αυτόματα στην ηλεκτρονική πλατφόρμα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3 του άρθρου 2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 1 και 2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4.</w:t>
      </w:r>
      <w:r>
        <w:rPr>
          <w:lang w:val="el" w:eastAsia="el"/>
        </w:rPr>
        <w:t xml:space="preserve"> 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καθώς και τα συνολικά στοιχεία για τις ενισχύσεις de minimis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5.</w:t>
      </w:r>
      <w:r>
        <w:rPr>
          <w:lang w:val="el" w:eastAsia="el"/>
        </w:rPr>
        <w:t xml:space="preserve"> Για τον ανωτέρω σκοπό η ΑΑΔΕ θέτει στη διάθεση της αρμόδιας υπηρεσίας του άρθρου 12 όλα τα απαραίτητα στοιχεία και κάθε πληροφορία σχετική με την εφαρμογή της παρούσας που τηρούνται στην πλατφόρμα «myBusinessSupport».</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αίτησης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αίτηση για τη χορήγηση επιστρεπτέας προκαταβολής στην ηλεκτρονική πλατφόρμα «myBusinessSupport» η οποία αποτελεί εφαρμογή του Ο.Π.Σ. TAXISnet της ΑΑΔΕ (</w:t>
      </w:r>
      <w:hyperlink r:id="rId4" w:history="1">
        <w:r>
          <w:rPr>
            <w:rStyle w:val="Hyperlink"/>
            <w:color w:val="0000EE"/>
            <w:u w:color="0000EE"/>
            <w:lang w:val="el" w:eastAsia="el"/>
          </w:rPr>
          <w:t>https://www.aade.gr/mybusinesssupport</w:t>
        </w:r>
      </w:hyperlink>
      <w:r>
        <w:rPr>
          <w:lang w:val="el" w:eastAsia="el"/>
        </w:rPr>
        <w:t>).</w:t>
      </w:r>
    </w:p>
    <w:p>
      <w:pPr>
        <w:pStyle w:val="MainText"/>
        <w:spacing w:before="120" w:after="0"/>
        <w:rPr>
          <w:lang w:val="el" w:eastAsia="el"/>
        </w:rPr>
      </w:pPr>
      <w:r>
        <w:rPr>
          <w:b/>
          <w:bCs/>
          <w:lang w:val="el" w:eastAsia="el"/>
        </w:rPr>
        <w:t>2.</w:t>
      </w:r>
      <w:r>
        <w:rPr>
          <w:lang w:val="el" w:eastAsia="el"/>
        </w:rPr>
        <w:t xml:space="preserve"> Οι αιτήσεις υποβάλλονται έως την 26η Οκτωβρίου 2020.</w:t>
      </w:r>
    </w:p>
    <w:p>
      <w:pPr>
        <w:pStyle w:val="MainText"/>
        <w:spacing w:before="120" w:after="0"/>
        <w:rPr>
          <w:lang w:val="el" w:eastAsia="el"/>
        </w:rPr>
      </w:pPr>
      <w:r>
        <w:rPr>
          <w:b/>
          <w:bCs/>
          <w:lang w:val="el" w:eastAsia="el"/>
        </w:rPr>
        <w:t>3.</w:t>
      </w:r>
      <w:r>
        <w:rPr>
          <w:lang w:val="el" w:eastAsia="el"/>
        </w:rPr>
        <w:t xml:space="preserve"> Κατά την αίτηση, η επιχείρηση δηλώνει, το αν αιτείται να λάβει την ενίσχυση βάσει του Προσωρινού Πλαισίου ή βάσει του Κανονισμού de minimis, τα απαιτούμενα στοιχεία και πληροφορίες σχετικά με την πλήρωση των προϋποθέσεων της παρούσας, κατά περίπτωση, καθώς και το ποσό που αιτείται να λάβει στο πλαίσιο της παρούσας, εντός των ορίων του άρθρου 4 της παρούσας. Υπόδειγμα της αίτησης περιλαμβάνεται στο Παράρτημα ΙΙ.Α, το οποίο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Η είσοδος στην ηλεκτρονική πλατφόρμα «myBusinessSupport» διενεργείται με τη χρήση των σχετικών διαπιστευτηρίων του Ο.Π.Σ. TAXISnet της ΑΑΔΕ.</w:t>
      </w:r>
    </w:p>
    <w:p>
      <w:pPr>
        <w:pStyle w:val="MainText"/>
        <w:spacing w:before="120" w:after="0"/>
        <w:rPr>
          <w:lang w:val="el" w:eastAsia="el"/>
        </w:rPr>
      </w:pPr>
      <w:r>
        <w:rPr>
          <w:b/>
          <w:bCs/>
          <w:lang w:val="el" w:eastAsia="el"/>
        </w:rPr>
        <w:t>5.</w:t>
      </w:r>
      <w:r>
        <w:rPr>
          <w:lang w:val="el" w:eastAsia="el"/>
        </w:rPr>
        <w:t xml:space="preserve"> 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τελικού ύψους ενίσχυσης.</w:t>
      </w:r>
    </w:p>
    <w:p>
      <w:pPr>
        <w:pStyle w:val="MainText"/>
        <w:spacing w:before="120" w:after="0"/>
        <w:rPr>
          <w:lang w:val="el" w:eastAsia="el"/>
        </w:rPr>
      </w:pPr>
      <w:r>
        <w:rPr>
          <w:b/>
          <w:bCs/>
          <w:lang w:val="el" w:eastAsia="el"/>
        </w:rPr>
        <w:t>6.</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χορήγησης της ενίσχυσης</w:t>
      </w:r>
    </w:p>
    <w:p>
      <w:pPr>
        <w:pStyle w:val="MainText"/>
        <w:spacing w:before="120" w:after="0"/>
        <w:rPr>
          <w:lang w:val="el" w:eastAsia="el"/>
        </w:rPr>
      </w:pPr>
      <w:r>
        <w:rPr>
          <w:b/>
          <w:bCs/>
          <w:lang w:val="el" w:eastAsia="el"/>
        </w:rPr>
        <w:t>1.</w:t>
      </w:r>
      <w:r>
        <w:rPr>
          <w:lang w:val="el" w:eastAsia="el"/>
        </w:rPr>
        <w:t xml:space="preserve"> Η αιτούσα επιχείρηση ενημερώνεται ψηφιακά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εντός πέντε (5) εργάσιμων ημερών από την ως άνω ενημέρωση. Η αρμόδια υπηρεσία του άρθρου 12 απαντά στο αίτημα επανεξέτασης, βάσει των στοιχείων και πληροφοριών που αιτείται και λαμβάνει από την ΑΑΔΕ, σύμφωνα με το παρόν άρθρο.</w:t>
      </w:r>
    </w:p>
    <w:p>
      <w:pPr>
        <w:pStyle w:val="MainText"/>
        <w:spacing w:before="120" w:after="0"/>
        <w:rPr>
          <w:lang w:val="el" w:eastAsia="el"/>
        </w:rPr>
      </w:pPr>
      <w:r>
        <w:rPr>
          <w:b/>
          <w:bCs/>
          <w:lang w:val="el" w:eastAsia="el"/>
        </w:rPr>
        <w:t>2.</w:t>
      </w:r>
      <w:r>
        <w:rPr>
          <w:lang w:val="el" w:eastAsia="el"/>
        </w:rPr>
        <w:t xml:space="preserve"> Το ποσό της ενίσχυσης, που υπολογίζεται σύμφωνα με τα οριζόμενα στα άρθρα 4 και 5 της παρούσας, καταβάλλεται εφάπαξ στον τραπεζικό λογαριασμό ΙΒΑΝ της δικαιούχου επιχείρησης που δηλώνεται στην Προσωποποιημένη Πληροφόρηση του TAXISnet της ΑΑΔΕ.</w:t>
      </w:r>
    </w:p>
    <w:p>
      <w:pPr>
        <w:pStyle w:val="MainText"/>
        <w:spacing w:before="120" w:after="0"/>
        <w:rPr>
          <w:lang w:val="el" w:eastAsia="el"/>
        </w:rPr>
      </w:pPr>
      <w:r>
        <w:rPr>
          <w:b/>
          <w:bCs/>
          <w:lang w:val="el" w:eastAsia="el"/>
        </w:rPr>
        <w:t>3.</w:t>
      </w:r>
      <w:r>
        <w:rPr>
          <w:lang w:val="el" w:eastAsia="el"/>
        </w:rPr>
        <w:t xml:space="preserve"> Η ΑΑΔΕ, βάσει των στοιχείων που έχουν υποβληθεί στην πλατφόρμα «myBusinessSupport», επεξεργάζεται τα στοιχεία και τα διασταυρώνει με άλλα στοιχεία που έχει στη διάθεσή της και στη συνέχεια πριν από την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επιχειρήσεων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των επιχειρήσεων σε έντυπη και ηλεκτρονική μορφή που περιλαμβάνει το συνολικό προς πληρωμή ποσό, ολογράφως και αριθμητικώς.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καταβολής της ενίσχυσης</w:t>
      </w:r>
    </w:p>
    <w:p>
      <w:pPr>
        <w:pStyle w:val="MainText"/>
        <w:spacing w:before="120" w:after="0"/>
        <w:rPr>
          <w:lang w:val="el" w:eastAsia="el"/>
        </w:rPr>
      </w:pPr>
      <w:r>
        <w:rPr>
          <w:b/>
          <w:bCs/>
          <w:lang w:val="el" w:eastAsia="el"/>
        </w:rPr>
        <w:t>1.</w:t>
      </w:r>
      <w:r>
        <w:rPr>
          <w:lang w:val="el" w:eastAsia="el"/>
        </w:rPr>
        <w:t xml:space="preserve"> Η συγκεντρωτική κατάσταση της περ. β της παρ. 3 του άρθρου 7 αποστέλλεται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ΕΔ No 200 «Ελληνικό Δημόσιο Συγκέντρωση Εισπράξεων - Πληρωμών» και την πίστωση του ενδιάμεσου λογαριασμού 23/4810500 με κωδικό IBAN GR4001000230000000004810500 που τηρείται στην Τράπεζα της Ελλάδος.</w:t>
      </w:r>
    </w:p>
    <w:p>
      <w:pPr>
        <w:spacing w:before="240" w:after="240"/>
        <w:rPr>
          <w:lang w:val="el" w:eastAsia="el"/>
        </w:rPr>
      </w:pPr>
      <w:r>
        <w:rPr>
          <w:lang w:val="el" w:eastAsia="el"/>
        </w:rPr>
        <w:t>Η αναλυτική κατάσταση της περ. α της παρ. 3 του άρθρου 7 αποστέλλεται με ασφαλή τρόπο προς τη ΔΙΑΣ Α.Ε. για χρέωση του ανωτέρω ενδιάμεσου λογαριασμού 23/4810500 με πίστωση των τραπεζικών λογαριασμών των δικαιούχων. Η ίδια πληροφόρηση κοινοποιείται στη Γενική Διεύθυνση Οικονομικών Υ του Υπουργείου Οικονομικών.</w:t>
      </w:r>
    </w:p>
    <w:p>
      <w:pPr>
        <w:pStyle w:val="MainText"/>
        <w:spacing w:before="120" w:after="0"/>
        <w:rPr>
          <w:lang w:val="el" w:eastAsia="el"/>
        </w:rPr>
      </w:pPr>
      <w:r>
        <w:rPr>
          <w:b/>
          <w:bCs/>
          <w:lang w:val="el" w:eastAsia="el"/>
        </w:rPr>
        <w:t>2.</w:t>
      </w:r>
      <w:r>
        <w:rPr>
          <w:lang w:val="el" w:eastAsia="el"/>
        </w:rPr>
        <w:t xml:space="preserve"> Τα ποσά που απέτυχαν να πληρωθούν επιστρέφουν στον λογαριασμό του Ελληνικού Δημοσίου με IBAN 200211 με IBAN GR7101000230000000000200211 και λογιστικοποιούνται ως έσοδα του τακτικού προϋπολογισμού.</w:t>
      </w:r>
    </w:p>
    <w:p>
      <w:pPr>
        <w:spacing w:before="240" w:after="240"/>
        <w:rPr>
          <w:lang w:val="el" w:eastAsia="el"/>
        </w:rPr>
      </w:pPr>
      <w:r>
        <w:rPr>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3.</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4.</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παρούσα απόφαση,</w:t>
      </w:r>
    </w:p>
    <w:p>
      <w:pPr>
        <w:pStyle w:val="StructureList1"/>
        <w:spacing w:before="120" w:after="0"/>
        <w:rPr>
          <w:lang w:val="el" w:eastAsia="el"/>
        </w:rPr>
      </w:pPr>
      <w:r>
        <w:rPr>
          <w:lang w:val="el" w:eastAsia="el"/>
        </w:rPr>
        <w:t>β)</w:t>
      </w:r>
      <w:r>
        <w:rPr>
          <w:lang w:val="en" w:eastAsia="en"/>
        </w:rPr>
        <w:tab/>
      </w:r>
      <w:r>
        <w:rPr>
          <w:lang w:val="el" w:eastAsia="el"/>
        </w:rPr>
        <w:t>η συγκεντρωτική κατάσταση της περ. β της παρ.3 του άρθρου 7,</w:t>
      </w:r>
    </w:p>
    <w:p>
      <w:pPr>
        <w:pStyle w:val="StructureList1"/>
        <w:spacing w:before="120" w:after="0"/>
        <w:rPr>
          <w:lang w:val="el" w:eastAsia="el"/>
        </w:rPr>
      </w:pPr>
      <w:r>
        <w:rPr>
          <w:lang w:val="el" w:eastAsia="el"/>
        </w:rPr>
        <w:t>γ)</w:t>
      </w:r>
      <w:r>
        <w:rPr>
          <w:lang w:val="en" w:eastAsia="en"/>
        </w:rPr>
        <w:tab/>
      </w:r>
      <w:r>
        <w:rPr>
          <w:lang w:val="el" w:eastAsia="el"/>
        </w:rPr>
        <w:t>αντίγραφο της ειδικής εντολής προς την Τράπεζα της Ελλάδος και της αναγγελίας της Τράπεζας για τη χρέωση του λογαριασμού Νο 200.</w:t>
      </w:r>
    </w:p>
    <w:p>
      <w:pPr>
        <w:spacing w:before="240" w:after="240"/>
        <w:rPr>
          <w:lang w:val="el" w:eastAsia="el"/>
        </w:rPr>
      </w:pPr>
      <w:r>
        <w:rPr>
          <w:lang w:val="el" w:eastAsia="el"/>
        </w:rPr>
        <w:t>Για την πληρωμή της εν λόγω ενίσχυσης, η ειδική εντολή πληρωμής της παρ. 1 του παρόντος άρθρου επέχει θέση απόφασης ανάληψης υποχρέωσης.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Διαδικασία και προϋποθέσεις επιστροφής της</w:t>
      </w:r>
    </w:p>
    <w:p>
      <w:pPr>
        <w:spacing w:before="240" w:after="240"/>
        <w:rPr>
          <w:lang w:val="el" w:eastAsia="el"/>
        </w:rPr>
      </w:pPr>
      <w:r>
        <w:rPr>
          <w:lang w:val="el" w:eastAsia="el"/>
        </w:rPr>
        <w:t>ενίσχυσης</w:t>
      </w:r>
    </w:p>
    <w:p>
      <w:pPr>
        <w:pStyle w:val="MainText"/>
        <w:spacing w:before="120" w:after="0"/>
        <w:rPr>
          <w:lang w:val="el" w:eastAsia="el"/>
        </w:rPr>
      </w:pPr>
      <w:r>
        <w:rPr>
          <w:b/>
          <w:bCs/>
          <w:lang w:val="el" w:eastAsia="el"/>
        </w:rPr>
        <w:t>1.</w:t>
      </w:r>
      <w:r>
        <w:rPr>
          <w:lang w:val="el" w:eastAsia="el"/>
        </w:rPr>
        <w:t xml:space="preserve"> Το ποσό της ενίσχυσης επιβαρύνεται με επιτόκιο αναφοράς, όπως αυτό ορίζεται στο άρθρο 2 παρ. 4 της παρούσας.</w:t>
      </w:r>
    </w:p>
    <w:p>
      <w:pPr>
        <w:pStyle w:val="MainText"/>
        <w:spacing w:before="120" w:after="0"/>
        <w:rPr>
          <w:lang w:val="el" w:eastAsia="el"/>
        </w:rPr>
      </w:pPr>
      <w:r>
        <w:rPr>
          <w:b/>
          <w:bCs/>
          <w:lang w:val="el" w:eastAsia="el"/>
        </w:rPr>
        <w:t>2.</w:t>
      </w:r>
      <w:r>
        <w:rPr>
          <w:lang w:val="el" w:eastAsia="el"/>
        </w:rPr>
        <w:t xml:space="preserve"> Για το χρονικό διάστημα ως την 31η Δεκεμβρίου 2021 παρέχεται άτοκη περίοδος χάριτος κατά την οποία η δικαιούχος επιχείρηση δεν υποχρεούται να επιστρέψει οιοδήποτε τμήμα κεφαλαίου ή τόκων.</w:t>
      </w:r>
    </w:p>
    <w:p>
      <w:pPr>
        <w:pStyle w:val="MainText"/>
        <w:spacing w:before="120" w:after="0"/>
        <w:rPr>
          <w:lang w:val="el" w:eastAsia="el"/>
        </w:rPr>
      </w:pPr>
      <w:r>
        <w:rPr>
          <w:b/>
          <w:bCs/>
          <w:lang w:val="el" w:eastAsia="el"/>
        </w:rPr>
        <w:t>3.</w:t>
      </w:r>
      <w:r>
        <w:rPr>
          <w:lang w:val="el" w:eastAsia="el"/>
        </w:rPr>
        <w:t xml:space="preserve"> Μετά την παρέλευση της περιόδου χάριτος, το ποσό της ληφθείσας ενίσχυσης επιστρέφεται σε σαράντα (40) ισόποσες τοκοχρεωλυτικές μηνιαίες δόσεις, εκάστης εξ αυτών καταβλητέας την τελευταία ημέρα του μήνα.</w:t>
      </w:r>
    </w:p>
    <w:p>
      <w:pPr>
        <w:pStyle w:val="MainText"/>
        <w:spacing w:before="120" w:after="0"/>
        <w:rPr>
          <w:lang w:val="el" w:eastAsia="el"/>
        </w:rPr>
      </w:pPr>
      <w:r>
        <w:rPr>
          <w:b/>
          <w:bCs/>
          <w:lang w:val="el" w:eastAsia="el"/>
        </w:rPr>
        <w:t>4.</w:t>
      </w:r>
      <w:r>
        <w:rPr>
          <w:lang w:val="el" w:eastAsia="el"/>
        </w:rPr>
        <w:t xml:space="preserve"> Το ποσό της ενίσχυσης εμφανίζεται με τις τυχόν λοιπές οφειλές της επιχείρησης, στο διαδικτυακό τόπο της ΑΑΔΕ </w:t>
      </w:r>
      <w:hyperlink r:id="rId5" w:history="1">
        <w:r>
          <w:rPr>
            <w:rStyle w:val="Hyperlink"/>
            <w:color w:val="0000EE"/>
            <w:u w:color="0000EE"/>
            <w:lang w:val="el" w:eastAsia="el"/>
          </w:rPr>
          <w:t>www.aade.gr</w:t>
        </w:r>
      </w:hyperlink>
      <w:r>
        <w:rPr>
          <w:lang w:val="el" w:eastAsia="el"/>
        </w:rPr>
        <w:t xml:space="preserve"> στην επιλογή «myTAXISNet / ο λογαριασμός μου / Προσωποποιημένη πληροφόρηση/ Στοιχεία Οφειλών εκτός Ρύθμισης και Πληρωμή».</w:t>
      </w:r>
    </w:p>
    <w:p>
      <w:pPr>
        <w:pStyle w:val="MainText"/>
        <w:spacing w:before="120" w:after="0"/>
        <w:rPr>
          <w:lang w:val="el" w:eastAsia="el"/>
        </w:rPr>
      </w:pPr>
      <w:r>
        <w:rPr>
          <w:b/>
          <w:bCs/>
          <w:lang w:val="el" w:eastAsia="el"/>
        </w:rPr>
        <w:t>5.</w:t>
      </w:r>
      <w:r>
        <w:rPr>
          <w:lang w:val="el" w:eastAsia="el"/>
        </w:rPr>
        <w:t xml:space="preserve"> Το ανωτέρω ποσό βεβαιώνεται ως δημόσιο έσοδο και εμφανίζεται στα έσοδα του Κρατικού Προϋπολογισμού, σε ειδικούς Αναλυτικούς Λογαριασμούς Εσόδων (ΑΛΕ) που θα δημιουργηθούν για το σκοπό αυτό.</w:t>
      </w:r>
    </w:p>
    <w:p>
      <w:pPr>
        <w:pStyle w:val="MainText"/>
        <w:spacing w:before="120" w:after="0"/>
        <w:rPr>
          <w:lang w:val="el" w:eastAsia="el"/>
        </w:rPr>
      </w:pPr>
      <w:r>
        <w:rPr>
          <w:b/>
          <w:bCs/>
          <w:lang w:val="el" w:eastAsia="el"/>
        </w:rPr>
        <w:t>6.</w:t>
      </w:r>
      <w:r>
        <w:rPr>
          <w:lang w:val="el" w:eastAsia="el"/>
        </w:rPr>
        <w:t xml:space="preserve"> Σε περίπτωση μη εμπρόθεσμης καταβολής των οφειλόμενων ποσών εφαρμόζονται οι γενικές διατάξεις του ΚΕΔΕ.</w:t>
      </w:r>
    </w:p>
    <w:p>
      <w:pPr>
        <w:pStyle w:val="MainText"/>
        <w:spacing w:before="120" w:after="0"/>
        <w:rPr>
          <w:lang w:val="el" w:eastAsia="el"/>
        </w:rPr>
      </w:pPr>
      <w:r>
        <w:rPr>
          <w:b/>
          <w:bCs/>
          <w:lang w:val="el" w:eastAsia="el"/>
        </w:rPr>
        <w:t>7.</w:t>
      </w:r>
      <w:r>
        <w:rPr>
          <w:lang w:val="el" w:eastAsia="el"/>
        </w:rPr>
        <w:t xml:space="preserve"> Παρέχεται δυνατότητα</w:t>
      </w:r>
    </w:p>
    <w:p>
      <w:pPr>
        <w:pStyle w:val="StructureList1"/>
        <w:spacing w:before="120" w:after="0"/>
        <w:rPr>
          <w:lang w:val="el" w:eastAsia="el"/>
        </w:rPr>
      </w:pPr>
      <w:r>
        <w:rPr>
          <w:lang w:val="el" w:eastAsia="el"/>
        </w:rPr>
        <w:t>α)</w:t>
      </w:r>
      <w:r>
        <w:rPr>
          <w:lang w:val="en" w:eastAsia="en"/>
        </w:rPr>
        <w:tab/>
      </w:r>
      <w:r>
        <w:rPr>
          <w:lang w:val="el" w:eastAsia="el"/>
        </w:rPr>
        <w:t>επιστροφής μόνο ποσοστού 70% της ενίσχυσης, εφόσον ο κύκλος εργασιών της επιχείρησης, ένα έτος μετά τη λήψη της ενίσχυσης, είναι μειωμένος κατά 70% ή παραπάνω σε σχέση με το ύψος του κύκλου εργασιών αναφοράς ή των ακαθάριστων εσόδων αναφοράς, όπως αυτά ορίζονται στις παρ. 10 και 11 του άρθρου 2 της παρούσας,</w:t>
      </w:r>
    </w:p>
    <w:p>
      <w:pPr>
        <w:pStyle w:val="StructureList1"/>
        <w:spacing w:before="120" w:after="0"/>
        <w:rPr>
          <w:lang w:val="el" w:eastAsia="el"/>
        </w:rPr>
      </w:pPr>
      <w:r>
        <w:rPr>
          <w:lang w:val="el" w:eastAsia="el"/>
        </w:rPr>
        <w:t>β)</w:t>
      </w:r>
      <w:r>
        <w:rPr>
          <w:lang w:val="en" w:eastAsia="en"/>
        </w:rPr>
        <w:tab/>
      </w:r>
      <w:r>
        <w:rPr>
          <w:lang w:val="el" w:eastAsia="el"/>
        </w:rPr>
        <w:t>επιστροφής μόνο ποσοστού 60% της ενίσχυσης, για τις επιχειρήσεις που απασχολούσαν την 1η Αυγούστου 2020 περισσότερους από είκοσι (20) εργαζόμενους, εφόσον διατηρήσουν κατά μέσο όρο τον αριθμό των εργαζομένων που απασχολούσαν κατά την 1η Αυγούστου 2020, βάσει των στοιχείων του συστήματος ΕΡΓΑΝΗ, ως και την 1η Αυγούστου 2021. Για την πλήρωση της προϋπόθεσης του προηγούμενου εδαφίου, από τον αριθμό των εργαζομένων που απασχολούσαν οι επιχειρήσεις κατά την 1η Αυγούστου 2020, εξαιρούνται οι λύσεις συμβάσεων ένεκα συνταξιοδότησης ή θανάτου, οι λύσεις συμβάσεων εργασίας Ορισμένου Χρόνου και οι οικειοθελείς παραιτήσεις.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Η επιχείρηση υποχρεούται να διατηρήσει έως την 31η Δεκεμβρίου 2020 τον αριθμό των εργαζομένων που απασχολούσε κατά την 1η Αυγούστου 2020, βάσει των στοιχείων του συστήματος ΕΡΓΑΝΗ. Ο έλεγχος θα πραγματοποιείται ηλεκτρονικά μέσω του συστήματος ΕΡΓΑΝΗ και θα αφορά τον μέσο όρο του αριθμού των εργαζομένων κατά το διάστημα αυτό. Για τον έλεγχο, από τον αριθμό των εργαζομένων που απασχολούσε η επιχείρηση κατά την 1η Αυγούστου 2020, εξαιρούνται οι λύσεις συμβάσεων ένεκα συνταξιοδότησης ή θανάτου, οι λύσεις συμβάσεων εργασίας Ορισμένου Χρόνου και οι οικειοθελείς παραιτήσεις.</w:t>
      </w:r>
    </w:p>
    <w:p>
      <w:pPr>
        <w:pStyle w:val="MainText"/>
        <w:spacing w:before="120" w:after="0"/>
        <w:rPr>
          <w:lang w:val="el" w:eastAsia="el"/>
        </w:rPr>
      </w:pPr>
      <w:r>
        <w:rPr>
          <w:b/>
          <w:bCs/>
          <w:lang w:val="el" w:eastAsia="el"/>
        </w:rPr>
        <w:t>2.</w:t>
      </w:r>
      <w:r>
        <w:rPr>
          <w:lang w:val="el" w:eastAsia="el"/>
        </w:rPr>
        <w:t xml:space="preserve"> Εφόσον η επιχείρηση ενισχύεται βάσει του Προσωρινού Πλαισίου, οφείλει να προσκομίσει μέχρι την 31η Ιανουαρίου 2021 τα δικαιολογητικά που προβλέπονται στο Παράρτημα ΙΙ.Β. της παρούσας, το οποίο και αποτελεί αναπόσπαστο μέρος της παρούσας, σύμφωνα με τις οδηγίες που θα δοθούν από την Γενική Διεύθυνση Οικονομικών Υπηρεσιών του Υπουργείου Οικονομικών.</w:t>
      </w:r>
    </w:p>
    <w:p>
      <w:pPr>
        <w:pStyle w:val="MainText"/>
        <w:spacing w:before="120" w:after="0"/>
        <w:rPr>
          <w:lang w:val="el" w:eastAsia="el"/>
        </w:rPr>
      </w:pPr>
      <w:r>
        <w:rPr>
          <w:b/>
          <w:bCs/>
          <w:lang w:val="el" w:eastAsia="el"/>
        </w:rPr>
        <w:t>3.</w:t>
      </w:r>
      <w:r>
        <w:rPr>
          <w:lang w:val="el" w:eastAsia="el"/>
        </w:rPr>
        <w:t xml:space="preserve"> Επιχειρήσεις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4.</w:t>
      </w:r>
      <w:r>
        <w:rPr>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5.</w:t>
      </w:r>
      <w:r>
        <w:rPr>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ή υποβολή ψευδών στοιχείων, ζητείται η άμεση επιστροφή του συνόλου της χορηγηθείσας ενίσχυσης εντόκως από την ημερομηνία που τέθηκε στη διάθεση του δικαιούχου, σύμφωνα με την κείμενη σχετική εθνική και ενωσιακή νομοθεσία.</w:t>
      </w:r>
    </w:p>
    <w:p>
      <w:pPr>
        <w:pStyle w:val="MainText"/>
        <w:spacing w:before="120" w:after="0"/>
        <w:rPr>
          <w:lang w:val="el" w:eastAsia="el"/>
        </w:rPr>
      </w:pPr>
      <w:r>
        <w:rPr>
          <w:b/>
          <w:bCs/>
          <w:lang w:val="el" w:eastAsia="el"/>
        </w:rPr>
        <w:t>6.</w:t>
      </w:r>
      <w:r>
        <w:rPr>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Υποχρέωση διαφάνειας</w:t>
      </w:r>
    </w:p>
    <w:p>
      <w:pPr>
        <w:pStyle w:val="MainText"/>
        <w:spacing w:before="120" w:after="0"/>
        <w:rPr>
          <w:lang w:val="el" w:eastAsia="el"/>
        </w:rPr>
      </w:pPr>
      <w:r>
        <w:rPr>
          <w:b/>
          <w:bCs/>
          <w:lang w:val="el" w:eastAsia="el"/>
        </w:rPr>
        <w:t>1.</w:t>
      </w:r>
      <w:r>
        <w:rPr>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44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Τήρηση αρχείου - Υποβολή εκθέσεων</w:t>
      </w:r>
    </w:p>
    <w:p>
      <w:pPr>
        <w:pStyle w:val="MainText"/>
        <w:spacing w:before="120" w:after="0"/>
        <w:rPr>
          <w:lang w:val="el" w:eastAsia="el"/>
        </w:rPr>
      </w:pPr>
      <w:r>
        <w:rPr>
          <w:b/>
          <w:bCs/>
          <w:lang w:val="el" w:eastAsia="el"/>
        </w:rPr>
        <w:t>1.</w:t>
      </w:r>
      <w:r>
        <w:rPr>
          <w:lang w:val="el" w:eastAsia="el"/>
        </w:rPr>
        <w:t xml:space="preserve"> Η ΓΔΟΥ του Υπουργείου Οικονομικών έχει τη γενική εποπτεία και την ευθύνη της διοικητικής υποστήριξης της δράσης. Στο πλαίσιο των αρμοδιοτήτων της, αναλαμβάνει την υποχρέωση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επιστρεπτέας προκαταβολής. Επίσης, η εν λόγω υπηρεσία μεριμνά για την ανάρτηση των ενισχύσεων που χορηγούνται βάσει του Προσωρινού Πλαισίου στο ΤΑΜ, κατά τα προβλεπόμενα στο άρθρο 11 της παρούσας, καθώς και για την υποβολή των ετήσιων εκθέσεων στην Ευρωπαϊκή Επιτροπή κατά τα προβλεπόμενα στο σημείο 87 του Προσωρινού Πλαισίου.</w:t>
      </w:r>
    </w:p>
    <w:p>
      <w:pPr>
        <w:pStyle w:val="MainText"/>
        <w:spacing w:before="120" w:after="0"/>
        <w:rPr>
          <w:lang w:val="el" w:eastAsia="el"/>
        </w:rPr>
      </w:pPr>
      <w:r>
        <w:rPr>
          <w:b/>
          <w:bCs/>
          <w:lang w:val="el" w:eastAsia="el"/>
        </w:rPr>
        <w:t>2.</w:t>
      </w:r>
      <w:r>
        <w:rPr>
          <w:lang w:val="el" w:eastAsia="el"/>
        </w:rPr>
        <w:t xml:space="preserve"> Η ΑΑΔΕ υποχρεούται να θέτει στη διάθεση της Γενικής Διεύθυνσης Οικονομικών Υπηρεσιών του Υπουργείου Οικονομικών κάθε απαιτούμενη πληροφορία σχετική με την εφαρμογή της παρούσας απόφασης, ιδίως στοιχείων που απαιτούνται στο πλαίσιο υποβολής των προβλεπόμενων ετήσιων εκθέσεων στην Ευρωπαϊκή Επιτροπή.</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ΟΡΙΣΜΟΣ ΠΡΟΒΛΗΜΑΤΙΚΗΣ ΕΠΙΧΕΙΡΗΣΗΣ</w:t>
      </w:r>
    </w:p>
    <w:p>
      <w:pPr>
        <w:spacing w:before="240" w:after="240"/>
        <w:rPr>
          <w:lang w:val="el" w:eastAsia="el"/>
        </w:rPr>
      </w:pPr>
      <w:r>
        <w:rPr>
          <w:lang w:val="el" w:eastAsia="el"/>
        </w:rPr>
        <w:t xml:space="preserve">Με βάση τον ως άρθρο 2 παρ. 18 του Καν. 651/2014, προβληματική είναι η επιχείρηση για την οποία συντρέχει </w:t>
      </w:r>
      <w:r>
        <w:rPr>
          <w:u w:val="single"/>
          <w:lang w:val="el" w:eastAsia="el"/>
        </w:rPr>
        <w:t>τουλάχιστον μία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 xml:space="preserve">εάν πρόκειται για εταιρεία περιορισμένης ευθύνης [πλην Μικρομεσαίας Επιχείρησης </w:t>
      </w:r>
      <w:r>
        <w:rPr>
          <w:sz w:val="30"/>
          <w:szCs w:val="30"/>
          <w:vertAlign w:val="superscript"/>
          <w:lang w:val="el" w:eastAsia="el"/>
        </w:rPr>
        <w:t xml:space="preserve">1 </w:t>
      </w:r>
      <w:r>
        <w:rPr>
          <w:lang w:val="el" w:eastAsia="el"/>
        </w:rPr>
        <w:t>(ΜΜΕ)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lang w:val="el" w:eastAsia="el"/>
        </w:rPr>
        <w:t>β)</w:t>
      </w:r>
      <w:r>
        <w:rPr>
          <w:lang w:val="en" w:eastAsia="en"/>
        </w:rPr>
        <w:tab/>
      </w:r>
      <w:r>
        <w:rPr>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spacing w:before="240" w:after="240"/>
        <w:rPr>
          <w:lang w:val="el" w:eastAsia="el"/>
        </w:rPr>
      </w:pPr>
      <w:r>
        <w:rPr>
          <w:i/>
          <w:iCs/>
          <w:lang w:val="el" w:eastAsia="el"/>
        </w:rPr>
        <w:t xml:space="preserve">Όπως ορίζεται στο Παράρτημα Ι του Καν.651/2014. </w:t>
      </w:r>
      <w:r>
        <w:rPr>
          <w:lang w:val="el" w:eastAsia="el"/>
        </w:rPr>
        <w:t>γ) 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lang w:val="el" w:eastAsia="el"/>
        </w:rPr>
        <w:t>δ)</w:t>
      </w:r>
      <w:r>
        <w:rPr>
          <w:lang w:val="en" w:eastAsia="en"/>
        </w:rPr>
        <w:tab/>
      </w:r>
      <w:r>
        <w:rPr>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lang w:val="el" w:eastAsia="el"/>
        </w:rPr>
        <w:t>ε)</w:t>
      </w:r>
      <w:r>
        <w:rPr>
          <w:lang w:val="en" w:eastAsia="en"/>
        </w:rPr>
        <w:tab/>
      </w:r>
      <w:r>
        <w:rPr>
          <w:lang w:val="el" w:eastAsia="el"/>
        </w:rPr>
        <w:t>εάν πρόκειται για άλλη επιχείρηση εκτός ΜΜΕ, εφόσον τα τελευταία δύο έτη:</w:t>
      </w:r>
    </w:p>
    <w:p>
      <w:pPr>
        <w:spacing w:before="240" w:after="240"/>
        <w:rPr>
          <w:lang w:val="el" w:eastAsia="el"/>
        </w:rPr>
      </w:pPr>
      <w:r>
        <w:rPr>
          <w:lang w:val="el" w:eastAsia="el"/>
        </w:rPr>
        <w:t>1) ο δείκτης χρέους προς ίδια κεφάλαια της επιχείρησης είναι υψηλότερος του 7,5 και</w:t>
      </w:r>
    </w:p>
    <w:p>
      <w:pPr>
        <w:spacing w:before="240" w:after="240"/>
        <w:rPr>
          <w:lang w:val="el" w:eastAsia="el"/>
        </w:rPr>
      </w:pPr>
      <w:r>
        <w:rPr>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lang w:val="el" w:eastAsia="el"/>
        </w:rPr>
        <w:t>Ο έλεγχος των ως άνω προϋποθέσεων γίνεται σε επίπεδο αιτούσας επιχείρησης καθώς και σε επίπεδο ενιαίας επιχείρησης.</w:t>
      </w:r>
    </w:p>
    <w:p>
      <w:pPr>
        <w:spacing w:before="240" w:after="240"/>
        <w:rPr>
          <w:lang w:val="el" w:eastAsia="el"/>
        </w:rPr>
      </w:pPr>
      <w:r>
        <w:rPr>
          <w:b/>
          <w:bCs/>
          <w:lang w:val="el" w:eastAsia="el"/>
        </w:rPr>
        <w:t>ΠΑΡΑΡΤΗΜΑ ΙΙΑ. ΠΕΡΙΕΧΟΜΕΝΟ ΑΙΤΗΣΗΣ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επιχείρηση δηλώνει αν αιτείται να λάβει την ενίσχυση βάσει του Προσωρινού Πλαισίου C/2020/1863, ή βάσει του Καν.1407/2013 (de minimis).</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περίπτωση που αιτείται ενίσχυσης δυνάμει του Προσωρινού Πλαισίου, η επιχείρηση δηλώνει:</w:t>
      </w:r>
    </w:p>
    <w:p>
      <w:pPr>
        <w:spacing w:before="240" w:after="240"/>
        <w:rPr>
          <w:lang w:val="el" w:eastAsia="el"/>
        </w:rPr>
      </w:pPr>
      <w:r>
        <w:rPr>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Όλες τις ενισχύσεις που έχει λάβει βάσει του τμήματος 3.1 του Προσωρινού Πλαισίου από άλλα προγράμματα, σε επίπεδο ενιαίας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6"/>
        <w:gridCol w:w="884"/>
        <w:gridCol w:w="884"/>
        <w:gridCol w:w="1176"/>
        <w:gridCol w:w="889"/>
        <w:gridCol w:w="883"/>
        <w:gridCol w:w="883"/>
        <w:gridCol w:w="821"/>
        <w:gridCol w:w="985"/>
        <w:gridCol w:w="10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w:t>
            </w:r>
          </w:p>
          <w:p>
            <w:pPr>
              <w:spacing w:before="240"/>
              <w:rPr>
                <w:b w:val="0"/>
                <w:bCs w:val="0"/>
                <w:i w:val="0"/>
                <w:iCs w:val="0"/>
                <w:smallCaps w:val="0"/>
                <w:color w:val="000000"/>
                <w:lang w:val="el" w:eastAsia="el"/>
              </w:rPr>
            </w:pPr>
            <w:r>
              <w:rPr>
                <w:b/>
                <w:bCs/>
                <w:i w:val="0"/>
                <w:iCs w:val="0"/>
                <w:smallCaps w:val="0"/>
                <w:color w:val="000000"/>
                <w:lang w:val="el" w:eastAsia="el"/>
              </w:rPr>
              <w:t>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rPr>
                <w:b w:val="0"/>
                <w:bCs w:val="0"/>
                <w:i w:val="0"/>
                <w:iCs w:val="0"/>
                <w:smallCaps w:val="0"/>
                <w:color w:val="000000"/>
                <w:lang w:val="el" w:eastAsia="el"/>
              </w:rPr>
            </w:pPr>
            <w:r>
              <w:rPr>
                <w:b/>
                <w:bCs/>
                <w:i w:val="0"/>
                <w:iCs w:val="0"/>
                <w:smallCaps w:val="0"/>
                <w:color w:val="000000"/>
                <w:lang w:val="el" w:eastAsia="el"/>
              </w:rPr>
              <w:t>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w:t>
            </w:r>
            <w:r>
              <w:rPr>
                <w:b w:val="0"/>
                <w:bCs w:val="0"/>
                <w:i w:val="0"/>
                <w:iCs w:val="0"/>
                <w:smallCaps w:val="0"/>
                <w:color w:val="000000"/>
                <w:lang w:val="el" w:eastAsia="el"/>
              </w:rPr>
              <w:t>Ν</w:t>
            </w:r>
            <w:r>
              <w:rPr>
                <w:b/>
                <w:bCs/>
                <w:i w:val="0"/>
                <w:iCs w:val="0"/>
                <w:smallCaps w:val="0"/>
                <w:color w:val="000000"/>
                <w:lang w:val="el" w:eastAsia="el"/>
              </w:rPr>
              <w:t>ΙΑ</w:t>
            </w:r>
          </w:p>
          <w:p>
            <w:pPr>
              <w:spacing w:before="240"/>
              <w:rPr>
                <w:b w:val="0"/>
                <w:bCs w:val="0"/>
                <w:i w:val="0"/>
                <w:iCs w:val="0"/>
                <w:smallCaps w:val="0"/>
                <w:color w:val="000000"/>
                <w:lang w:val="el" w:eastAsia="el"/>
              </w:rPr>
            </w:pPr>
            <w:r>
              <w:rPr>
                <w:b/>
                <w:bCs/>
                <w:i w:val="0"/>
                <w:iCs w:val="0"/>
                <w:smallCaps w:val="0"/>
                <w:color w:val="000000"/>
                <w:lang w:val="el" w:eastAsia="el"/>
              </w:rPr>
              <w:t>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ΕΓΚΡΙΤΙΚΗΣ</w:t>
            </w:r>
          </w:p>
          <w:p>
            <w:pPr>
              <w:spacing w:before="240"/>
              <w:rPr>
                <w:b w:val="0"/>
                <w:bCs w:val="0"/>
                <w:i w:val="0"/>
                <w:iCs w:val="0"/>
                <w:smallCaps w:val="0"/>
                <w:color w:val="000000"/>
                <w:lang w:val="el" w:eastAsia="el"/>
              </w:rPr>
            </w:pPr>
            <w:r>
              <w:rPr>
                <w:b/>
                <w:bCs/>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ΣΥΝΟΛΙΚΟ</w:t>
            </w:r>
          </w:p>
          <w:p>
            <w:pPr>
              <w:spacing w:before="240" w:after="240"/>
              <w:rPr>
                <w:b w:val="0"/>
                <w:bCs w:val="0"/>
                <w:i w:val="0"/>
                <w:iCs w:val="0"/>
                <w:smallCaps w:val="0"/>
                <w:color w:val="000000"/>
                <w:lang w:val="el" w:eastAsia="el"/>
              </w:rPr>
            </w:pPr>
            <w:r>
              <w:rPr>
                <w:b/>
                <w:bCs/>
                <w:i w:val="0"/>
                <w:iCs w:val="0"/>
                <w:smallCaps w:val="0"/>
                <w:color w:val="000000"/>
                <w:lang w:val="el" w:eastAsia="el"/>
              </w:rPr>
              <w:t>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γ. Αν η επιχείρηση με βάση τον ορισμό που περιλαμβάνεται στο άρθρο 2 παρ.9 της παρούσας ΚΥΑ, είναι:</w:t>
      </w:r>
    </w:p>
    <w:p>
      <w:pPr>
        <w:spacing w:before="240" w:after="240"/>
        <w:rPr>
          <w:lang w:val="el" w:eastAsia="el"/>
        </w:rPr>
      </w:pPr>
      <w:r>
        <w:rPr>
          <w:lang w:val="el" w:eastAsia="el"/>
        </w:rPr>
        <w:t>• Πολύ μικρή</w:t>
      </w:r>
    </w:p>
    <w:p>
      <w:pPr>
        <w:spacing w:before="240" w:after="240"/>
        <w:rPr>
          <w:lang w:val="el" w:eastAsia="el"/>
        </w:rPr>
      </w:pPr>
      <w:r>
        <w:rPr>
          <w:lang w:val="el" w:eastAsia="el"/>
        </w:rPr>
        <w:t>• Μικρή</w:t>
      </w:r>
    </w:p>
    <w:p>
      <w:pPr>
        <w:spacing w:before="240" w:after="240"/>
        <w:rPr>
          <w:lang w:val="el" w:eastAsia="el"/>
        </w:rPr>
      </w:pPr>
      <w:r>
        <w:rPr>
          <w:lang w:val="el" w:eastAsia="el"/>
        </w:rPr>
        <w:t>• Μεσαία</w:t>
      </w:r>
    </w:p>
    <w:p>
      <w:pPr>
        <w:spacing w:before="240" w:after="240"/>
        <w:rPr>
          <w:lang w:val="el" w:eastAsia="el"/>
        </w:rPr>
      </w:pPr>
      <w:r>
        <w:rPr>
          <w:lang w:val="el" w:eastAsia="el"/>
        </w:rPr>
        <w:t>• Μεγάλη</w:t>
      </w:r>
    </w:p>
    <w:p>
      <w:pPr>
        <w:spacing w:before="240" w:after="240"/>
        <w:rPr>
          <w:lang w:val="el" w:eastAsia="el"/>
        </w:rPr>
      </w:pPr>
      <w:r>
        <w:rPr>
          <w:lang w:val="el" w:eastAsia="el"/>
        </w:rPr>
        <w:t xml:space="preserve">δ. Ότι η επιχείρηση </w:t>
      </w:r>
      <w:r>
        <w:rPr>
          <w:i/>
          <w:iCs/>
          <w:lang w:val="el" w:eastAsia="el"/>
        </w:rPr>
        <w:t>δεν ήταν προβληματική στις 31.12.2019</w:t>
      </w:r>
      <w:r>
        <w:rPr>
          <w:lang w:val="el" w:eastAsia="el"/>
        </w:rPr>
        <w:t xml:space="preserve"> σύμφωνα με την έννοια του άρθρου 2 σημείου 18 του </w:t>
      </w:r>
      <w:r>
        <w:rPr>
          <w:i/>
          <w:iCs/>
          <w:lang w:val="el" w:eastAsia="el"/>
        </w:rPr>
        <w:t>Κανονισμού 651/2014 (ΕΕ L 187/26.6.2014),</w:t>
      </w:r>
      <w:r>
        <w:rPr>
          <w:lang w:val="el" w:eastAsia="el"/>
        </w:rPr>
        <w:t xml:space="preserve"> σε επίπεδο αιτούσας επιχείρησης καθώς και σε επίπεδο ενιαίας επιχείρησης,</w:t>
      </w:r>
    </w:p>
    <w:p>
      <w:pPr>
        <w:spacing w:before="240" w:after="240"/>
        <w:rPr>
          <w:lang w:val="el" w:eastAsia="el"/>
        </w:rPr>
      </w:pPr>
      <w:r>
        <w:rPr>
          <w:lang w:val="el" w:eastAsia="el"/>
        </w:rPr>
        <w:t>ή</w:t>
      </w:r>
    </w:p>
    <w:p>
      <w:pPr>
        <w:spacing w:before="240" w:after="240"/>
        <w:rPr>
          <w:lang w:val="el" w:eastAsia="el"/>
        </w:rPr>
      </w:pPr>
      <w:r>
        <w:rPr>
          <w:lang w:val="el" w:eastAsia="el"/>
        </w:rPr>
        <w:t>εφόσον η επιχείρηση είναι μικρή ή πολύ μικρή, ότι δεν υπάγεται σε συλλογική πτωχευτική διαδικασία, και ότι δεν έχει λάβει ενίσχυση διάσωσης (και δεν έχει ακόμη αποπληρώσει το δάνειο ή λύσει τη σύμβαση εγγύησης) - και ότι δεν έχει λάβει ενίσχυση αναδιάρθρωσης (και δεν υπόκειται ακόμη σε σχέδιο αναδιάρθρωσης).</w:t>
      </w:r>
    </w:p>
    <w:p>
      <w:pPr>
        <w:spacing w:before="240" w:after="240"/>
        <w:rPr>
          <w:lang w:val="el" w:eastAsia="el"/>
        </w:rPr>
      </w:pPr>
      <w:r>
        <w:rPr>
          <w:lang w:val="el" w:eastAsia="el"/>
        </w:rPr>
        <w:t>ε.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lang w:val="el" w:eastAsia="el"/>
        </w:rPr>
        <w:t>στ. Ότι, σε περίπτωση που δραστηριοποιείται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ενίσχυση.</w:t>
      </w:r>
    </w:p>
    <w:p>
      <w:pPr>
        <w:spacing w:before="240" w:after="240"/>
        <w:rPr>
          <w:lang w:val="el" w:eastAsia="el"/>
        </w:rPr>
      </w:pPr>
      <w:r>
        <w:rPr>
          <w:lang w:val="el" w:eastAsia="el"/>
        </w:rPr>
        <w:t>ζ. Ότι σε περίπτωση που δραστηριοποιείται σε περισσότερους του ενός τομείς στους οποίους ισχύουν διαφορετικά ανώτατα όρια ενίσχυσης σύμφωνα με το Τμήμα 3.α του Προσωρινού Πλαισίου,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lang w:val="el" w:eastAsia="el"/>
        </w:rPr>
        <w:t>η. Ότι για την επιχείρηση δεν συντρέχουν οι λόγοι αποκλεισμού της παραγράφου 1 του άρθρου 40 του ν. 4488/2017 (Α’137).</w:t>
      </w:r>
    </w:p>
    <w:p>
      <w:pPr>
        <w:spacing w:before="240" w:after="240"/>
        <w:rPr>
          <w:lang w:val="el" w:eastAsia="el"/>
        </w:rPr>
      </w:pPr>
      <w:r>
        <w:rPr>
          <w:lang w:val="el" w:eastAsia="el"/>
        </w:rPr>
        <w:t>θ.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b/>
          <w:bCs/>
          <w:lang w:val="el" w:eastAsia="el"/>
        </w:rPr>
        <w:t>Στην περίπτωση που αιτείται ενίσχυσης δυνάμει του Κανονισμού de minimis, η επιχείρηση δηλώνει:</w:t>
      </w:r>
    </w:p>
    <w:p>
      <w:pPr>
        <w:spacing w:before="240" w:after="240"/>
        <w:rPr>
          <w:lang w:val="el" w:eastAsia="el"/>
        </w:rPr>
      </w:pPr>
      <w:r>
        <w:rPr>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Όλες τις ενισχύσεις ήσσονος σημασίας που έχει λάβει σε επίπεδο ενιαίας επιχείρησης κατά την τριετία 2018-2020: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
        <w:gridCol w:w="794"/>
        <w:gridCol w:w="794"/>
        <w:gridCol w:w="1057"/>
        <w:gridCol w:w="799"/>
        <w:gridCol w:w="946"/>
        <w:gridCol w:w="793"/>
        <w:gridCol w:w="793"/>
        <w:gridCol w:w="738"/>
        <w:gridCol w:w="885"/>
        <w:gridCol w:w="9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rPr>
                <w:b w:val="0"/>
                <w:bCs w:val="0"/>
                <w:i w:val="0"/>
                <w:iCs w:val="0"/>
                <w:smallCaps w:val="0"/>
                <w:color w:val="000000"/>
                <w:lang w:val="el" w:eastAsia="el"/>
              </w:rPr>
            </w:pPr>
            <w:r>
              <w:rPr>
                <w:b/>
                <w:bCs/>
                <w:i w:val="0"/>
                <w:iCs w:val="0"/>
                <w:smallCaps w:val="0"/>
                <w:color w:val="000000"/>
                <w:lang w:val="el" w:eastAsia="el"/>
              </w:rPr>
              <w:t>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w:t>
            </w:r>
            <w:r>
              <w:rPr>
                <w:b w:val="0"/>
                <w:bCs w:val="0"/>
                <w:i w:val="0"/>
                <w:iCs w:val="0"/>
                <w:smallCaps w:val="0"/>
                <w:color w:val="000000"/>
                <w:lang w:val="el" w:eastAsia="el"/>
              </w:rPr>
              <w:t>Ν</w:t>
            </w:r>
            <w:r>
              <w:rPr>
                <w:b/>
                <w:bCs/>
                <w:i w:val="0"/>
                <w:iCs w:val="0"/>
                <w:smallCaps w:val="0"/>
                <w:color w:val="000000"/>
                <w:lang w:val="el" w:eastAsia="el"/>
              </w:rPr>
              <w:t>ΙΑ</w:t>
            </w:r>
          </w:p>
          <w:p>
            <w:pPr>
              <w:spacing w:before="240"/>
              <w:rPr>
                <w:b w:val="0"/>
                <w:bCs w:val="0"/>
                <w:i w:val="0"/>
                <w:iCs w:val="0"/>
                <w:smallCaps w:val="0"/>
                <w:color w:val="000000"/>
                <w:lang w:val="el" w:eastAsia="el"/>
              </w:rPr>
            </w:pPr>
            <w:r>
              <w:rPr>
                <w:b/>
                <w:bCs/>
                <w:i w:val="0"/>
                <w:iCs w:val="0"/>
                <w:smallCaps w:val="0"/>
                <w:color w:val="000000"/>
                <w:lang w:val="el" w:eastAsia="el"/>
              </w:rPr>
              <w:t>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ΕΓΚΡΙΤΙΚΗΣ</w:t>
            </w:r>
          </w:p>
          <w:p>
            <w:pPr>
              <w:spacing w:before="240"/>
              <w:rPr>
                <w:b w:val="0"/>
                <w:bCs w:val="0"/>
                <w:i w:val="0"/>
                <w:iCs w:val="0"/>
                <w:smallCaps w:val="0"/>
                <w:color w:val="000000"/>
                <w:lang w:val="el" w:eastAsia="el"/>
              </w:rPr>
            </w:pPr>
            <w:r>
              <w:rPr>
                <w:b/>
                <w:bCs/>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ΚΑΤΑΒΛΗΘΕΝ</w:t>
            </w:r>
          </w:p>
          <w:p>
            <w:pPr>
              <w:spacing w:before="240" w:after="240"/>
              <w:rPr>
                <w:b w:val="0"/>
                <w:bCs w:val="0"/>
                <w:i w:val="0"/>
                <w:iCs w:val="0"/>
                <w:smallCaps w:val="0"/>
                <w:color w:val="000000"/>
                <w:lang w:val="el" w:eastAsia="el"/>
              </w:rPr>
            </w:pPr>
            <w:r>
              <w:rPr>
                <w:b/>
                <w:bCs/>
                <w:i w:val="0"/>
                <w:iCs w:val="0"/>
                <w:smallCaps w:val="0"/>
                <w:color w:val="000000"/>
                <w:lang w:val="el" w:eastAsia="el"/>
              </w:rPr>
              <w:t>ΠΟΣΟ</w:t>
            </w:r>
          </w:p>
          <w:p>
            <w:pPr>
              <w:spacing w:before="240"/>
              <w:rPr>
                <w:b w:val="0"/>
                <w:bCs w:val="0"/>
                <w:i w:val="0"/>
                <w:iCs w:val="0"/>
                <w:smallCaps w:val="0"/>
                <w:color w:val="000000"/>
                <w:lang w:val="el" w:eastAsia="el"/>
              </w:rPr>
            </w:pPr>
            <w:r>
              <w:rPr>
                <w:b/>
                <w:bCs/>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ΣΥΝΟΛΙΚΟ</w:t>
            </w:r>
          </w:p>
          <w:p>
            <w:pPr>
              <w:spacing w:before="240" w:after="240"/>
              <w:rPr>
                <w:b w:val="0"/>
                <w:bCs w:val="0"/>
                <w:i w:val="0"/>
                <w:iCs w:val="0"/>
                <w:smallCaps w:val="0"/>
                <w:color w:val="000000"/>
                <w:lang w:val="el" w:eastAsia="el"/>
              </w:rPr>
            </w:pPr>
            <w:r>
              <w:rPr>
                <w:b/>
                <w:bCs/>
                <w:i w:val="0"/>
                <w:iCs w:val="0"/>
                <w:smallCaps w:val="0"/>
                <w:color w:val="000000"/>
                <w:lang w:val="el" w:eastAsia="el"/>
              </w:rPr>
              <w:t>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u w:val="single"/>
          <w:lang w:val="el" w:eastAsia="el"/>
        </w:rPr>
        <w:t>Σημειώνονται τα εξής:</w:t>
      </w:r>
    </w:p>
    <w:p>
      <w:pPr>
        <w:pStyle w:val="StructureList1"/>
        <w:spacing w:before="120" w:after="0"/>
        <w:rPr>
          <w:lang w:val="el" w:eastAsia="el"/>
        </w:rPr>
      </w:pPr>
      <w:r>
        <w:rPr>
          <w:lang w:val="el" w:eastAsia="el"/>
        </w:rPr>
        <w:t>-</w:t>
      </w:r>
      <w:r>
        <w:rPr>
          <w:lang w:val="en" w:eastAsia="en"/>
        </w:rPr>
        <w:tab/>
      </w:r>
      <w:r>
        <w:rPr>
          <w:i/>
          <w:iCs/>
          <w:lang w:val="el" w:eastAsia="el"/>
        </w:rPr>
        <w:t>Η ενίσχυση θεωρείται ότι έχει χορηγηθεί κατά τον χρόνο παραχώρησης στην οικεία επιχείρηση του έννομου δικαιώματος λήψης της ενίσχυσης (ήτοι κατά την ημερομηνία έκδοσης εγκριτικής απόφασης), ανεξάρτητα από την ημερομηνία καταβολής της ενίσχυσης στην επιχείρηση.</w:t>
      </w:r>
    </w:p>
    <w:p>
      <w:pPr>
        <w:pStyle w:val="StructureList1"/>
        <w:spacing w:before="120" w:after="0"/>
        <w:rPr>
          <w:lang w:val="el" w:eastAsia="el"/>
        </w:rPr>
      </w:pPr>
      <w:r>
        <w:rPr>
          <w:lang w:val="el" w:eastAsia="el"/>
        </w:rPr>
        <w:t>-</w:t>
      </w:r>
      <w:r>
        <w:rPr>
          <w:lang w:val="en" w:eastAsia="en"/>
        </w:rPr>
        <w:tab/>
      </w:r>
      <w:r>
        <w:rPr>
          <w:i/>
          <w:iCs/>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δηλώνονται επίσης στον ως άνω πίνακα και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pStyle w:val="StructureList1"/>
        <w:spacing w:before="120" w:after="0"/>
        <w:rPr>
          <w:lang w:val="el" w:eastAsia="el"/>
        </w:rPr>
      </w:pPr>
      <w:r>
        <w:rPr>
          <w:lang w:val="el" w:eastAsia="el"/>
        </w:rPr>
        <w:t>-</w:t>
      </w:r>
      <w:r>
        <w:rPr>
          <w:lang w:val="en" w:eastAsia="en"/>
        </w:rPr>
        <w:tab/>
      </w:r>
      <w:r>
        <w:rPr>
          <w:i/>
          <w:iCs/>
          <w:lang w:val="el" w:eastAsia="el"/>
        </w:rPr>
        <w:t>Αν μια επιχείρηση έχει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γ. Ότι σε περίπτωση που δραστηριοποιείται σε περισσότερους του ενός τομείς για τους οποίους ισχύουν διαφορετικά ανώτατα όρια ενίσχυσης σύμφωνα με τον Καν. de minimis,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lang w:val="el" w:eastAsia="el"/>
        </w:rPr>
        <w:t>δ. Ότι σε περίπτωση που δραστηριοποιείται σε κάποιον από τους μη επιλέξιμους για ενίσχυση τομείς και επίσης σε τομέα επιλέξιμο για ενίσχυση βάσει του Κανονισμού (ΕΕ) αριθμ. 1407/13,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lang w:val="el" w:eastAsia="el"/>
        </w:rPr>
        <w:t>ε. Ότι για την επιχείρηση δεν συντρέχουν οι λόγοι αποκλεισμού της παραγράφου 1 του άρθρου 40 του ν. 4488/2017 (Α’137).</w:t>
      </w:r>
    </w:p>
    <w:p>
      <w:pPr>
        <w:spacing w:before="240" w:after="240"/>
        <w:rPr>
          <w:lang w:val="el" w:eastAsia="el"/>
        </w:rPr>
      </w:pPr>
      <w:r>
        <w:rPr>
          <w:lang w:val="el" w:eastAsia="el"/>
        </w:rPr>
        <w:t>στ. Αν η επιχείρηση είναι ΜΜΕ ή όχι, με βάση τον ορισμό που περιλαμβάνεται στο παράρτημα Ι του Καν. 651/2014.</w:t>
      </w:r>
    </w:p>
    <w:p>
      <w:pPr>
        <w:spacing w:before="240" w:after="240"/>
        <w:rPr>
          <w:lang w:val="el" w:eastAsia="el"/>
        </w:rPr>
      </w:pPr>
      <w:r>
        <w:rPr>
          <w:lang w:val="el" w:eastAsia="el"/>
        </w:rPr>
        <w:t>ζ.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lang w:val="el" w:eastAsia="el"/>
        </w:rPr>
        <w:t xml:space="preserve">B. </w:t>
      </w:r>
      <w:r>
        <w:rPr>
          <w:b/>
          <w:bCs/>
          <w:lang w:val="el" w:eastAsia="el"/>
        </w:rPr>
        <w:t>ΑΠΑΙΤΟΥΜΕΝΑ ΔΙΚΑΙΟΛΟΓΗΤΙΚΑ</w:t>
      </w:r>
    </w:p>
    <w:p>
      <w:pPr>
        <w:spacing w:before="240" w:after="240"/>
        <w:rPr>
          <w:lang w:val="el" w:eastAsia="el"/>
        </w:rPr>
      </w:pPr>
      <w:r>
        <w:rPr>
          <w:lang w:val="el" w:eastAsia="el"/>
        </w:rPr>
        <w:t>Η επιχείρηση εφόσον έχει ενισχυθεί βάσει του Προσωρινού Πλαισίου, οφείλει, σύμφωνα με τα προβλεπόμενα στην παρ.2 του άρθρου 10 της παρούσας να προσκομίσει τα κάτωθι δικαιολογητικά ως την 31η Ιανουαρίου 2021:</w:t>
      </w:r>
    </w:p>
    <w:p>
      <w:pPr>
        <w:pStyle w:val="MainText"/>
        <w:spacing w:before="120" w:after="0"/>
        <w:rPr>
          <w:lang w:val="el" w:eastAsia="el"/>
        </w:rPr>
      </w:pPr>
      <w:r>
        <w:rPr>
          <w:b/>
          <w:bCs/>
          <w:lang w:val="el" w:eastAsia="el"/>
        </w:rPr>
        <w:t>1.</w:t>
      </w:r>
      <w:r>
        <w:rPr>
          <w:lang w:val="el" w:eastAsia="el"/>
        </w:rPr>
        <w:t xml:space="preserve"> Υπεύθυνη δήλωση του λογιστή της επιχείρησης που να βεβαιώνει ότι η επιχείρηση την 31.12.2019 (ανάλογα με την νομική μορφή και το είδος βιβλίων της επιχείρησης) σύμφωνα με τα αναγραφόμενα στο σημείο A του Παραρτήματος Ι “Ορισμός Προβληματικής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Το ανωτέρω δεν απαιτείται στην περίπτωση ανεξάρτητων ατομικών επιχειρήσεων., καθώς και στην περίπτωση των μικρών και πολύ μικρών επιχειρήσεων.</w:t>
      </w:r>
    </w:p>
    <w:p>
      <w:pPr>
        <w:pStyle w:val="StructureList1"/>
        <w:spacing w:before="120" w:after="0"/>
        <w:rPr>
          <w:lang w:val="el" w:eastAsia="el"/>
        </w:rPr>
      </w:pPr>
      <w:r>
        <w:rPr>
          <w:lang w:val="el" w:eastAsia="el"/>
        </w:rPr>
        <w:t>-</w:t>
      </w:r>
      <w:r>
        <w:rPr>
          <w:lang w:val="en" w:eastAsia="en"/>
        </w:rPr>
        <w:tab/>
      </w:r>
      <w:r>
        <w:rPr>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ήταν κάτω του 1,0.</w:t>
      </w:r>
    </w:p>
    <w:p>
      <w:pPr>
        <w:pStyle w:val="MainText"/>
        <w:spacing w:before="120" w:after="0"/>
        <w:rPr>
          <w:lang w:val="el" w:eastAsia="el"/>
        </w:rPr>
      </w:pPr>
      <w:r>
        <w:rPr>
          <w:b/>
          <w:bCs/>
          <w:lang w:val="el" w:eastAsia="el"/>
        </w:rPr>
        <w:t>2.</w:t>
      </w:r>
      <w:r>
        <w:rPr>
          <w:lang w:val="el" w:eastAsia="el"/>
        </w:rPr>
        <w:t xml:space="preserve"> Πιστοποιητικό μη πτώχευσης, μη υποβολής αίτησης για πτώχευση, μη θέσης σε αναγκαστική διαχείριση και μη υποβολής αίτησης για θέση σε αναγκαστική διαχείριση.</w:t>
      </w:r>
    </w:p>
    <w:p>
      <w:pPr>
        <w:spacing w:before="240" w:after="240"/>
        <w:rPr>
          <w:lang w:val="el" w:eastAsia="el"/>
        </w:rPr>
      </w:pPr>
      <w:r>
        <w:rPr>
          <w:b/>
          <w:bCs/>
          <w:lang w:val="el" w:eastAsia="el"/>
        </w:rPr>
        <w:t>ΠΑΡΑΡΤΗΜΑ ΙΙΙ ΚΩΔΙΚΟΙ ΑΡΙΘΜΩΝ ΔΡΑΣΤΗΡΙΟΤΗΤΑΣ</w:t>
      </w:r>
    </w:p>
    <w:p>
      <w:pPr>
        <w:spacing w:before="240" w:after="240"/>
        <w:rPr>
          <w:lang w:val="el" w:eastAsia="el"/>
        </w:rPr>
      </w:pPr>
      <w:r>
        <w:rPr>
          <w:lang w:val="el" w:eastAsia="el"/>
        </w:rPr>
        <w:t>Παρατίθεται πίνακας με τον Κωδικό Αριθμό Δραστηριότητας (ΚΑΔ) των κλάδων που εμπίπτουν στην υποπερ. i της υποπερ. αα της περίπτωσης β της παρ.1 του άρθρου 3. 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κλάδου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ένδυσης, εξαρτημάτων ρουχισμού και άλλων ειδών από γουνόδερμα (εκτός καλυμάτων κεφαλής)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ένδυσης, εξαρτημάτων ρουχισμού από γουνόδερμα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 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Aλλα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καταλύματος π.δ.κ.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 Υπηρεσίες που παρέχονται από καντίνες εργοστάσιων ή γραφείων (56.29.20.03), Υπηρεσίες που παρέχονται από σχολικές καντίνες (κυλικεία) (56.29.20.04), Υπηρεσίες που παρέχονται από φοιτητικά εστιατόρια (56.29.20.05)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 με εξαίρεση τις Υπηρεσίες κοινωνικής μέριμνας χωρίς παροχή καταλύματος για ηλικιωμένους και άτομα με αναπηρία (ΚΑΔ 88.10.10), καθώς και τις Υπηρεσίες επίσκεψης και παροχής υποστήριξης σε ηλικιωμένους (ΚΑΔ 88.10.11).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τυχερών παιχνιδιών τραπεζιού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πολιτιστικών συλλόγων και σωματείων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 εκτός από υπηρεσίες διαιτολογίας (96.04.10.01) και Υπηρεσίες διαιτολογικών μονάδων (πολυδύναμων μονάδων συνδυασμού άσκησης, αισθητικής και δίαιτας) (96.04.10.02)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 για επιχειρήσεις που δραστηριοποιούνται στην παροχή επιχειρηματικών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συμβουλών και άλλων συμβουλών διαχείρισης αποκλειστικά προς και για ξενοδοχειακά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bl>
    <w:p>
      <w:pPr>
        <w:spacing w:before="240" w:after="240"/>
        <w:rPr>
          <w:lang w:val="el" w:eastAsia="el"/>
        </w:rPr>
      </w:pPr>
      <w:r>
        <w:rPr>
          <w:b/>
          <w:bCs/>
          <w:lang w:val="el" w:eastAsia="el"/>
        </w:rPr>
        <w:t>ΠΑΡΑΡΤΗΜΑ IV</w:t>
      </w:r>
    </w:p>
    <w:p>
      <w:pPr>
        <w:spacing w:before="240" w:after="240"/>
        <w:rPr>
          <w:lang w:val="el" w:eastAsia="el"/>
        </w:rPr>
      </w:pPr>
      <w:r>
        <w:rPr>
          <w:b/>
          <w:bCs/>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λιπών και ελαίων και των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lang w:val="el" w:eastAsia="el"/>
        </w:rPr>
        <w:t>Aθήνα, 10 Οκτωβρίου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Οικονομικών Υπουργός Οικονομικών</w:t>
      </w:r>
    </w:p>
    <w:p>
      <w:pPr>
        <w:spacing w:before="240" w:after="240"/>
        <w:rPr>
          <w:lang w:val="el" w:eastAsia="el"/>
        </w:rPr>
      </w:pPr>
      <w:r>
        <w:rPr>
          <w:b/>
          <w:bCs/>
          <w:lang w:val="el" w:eastAsia="el"/>
        </w:rPr>
        <w:t>ΧΡΗΣΤΟΣ ΣΤΑΪΚΟΥΡΑΣ ΘΕΟΔΩΡΟΣ ΣΚΥΛΑΚΑΚΗΣ</w:t>
      </w:r>
    </w:p>
    <w:p>
      <w:pPr>
        <w:spacing w:before="240" w:after="240"/>
        <w:rPr>
          <w:lang w:val="el" w:eastAsia="el"/>
        </w:rPr>
      </w:pPr>
      <w:r>
        <w:rPr>
          <w:lang w:val="el" w:eastAsia="el"/>
        </w:rPr>
        <w:t>Υφυπουργός Οικονομικών Ανάπτυξης και Επενδύσεων</w:t>
      </w:r>
    </w:p>
    <w:p>
      <w:pPr>
        <w:spacing w:before="240" w:after="240"/>
        <w:rPr>
          <w:lang w:val="el" w:eastAsia="el"/>
        </w:rPr>
      </w:pPr>
      <w:r>
        <w:rPr>
          <w:b/>
          <w:bCs/>
          <w:lang w:val="el" w:eastAsia="el"/>
        </w:rPr>
        <w:t>ΑΠΟΣΤΟΛΟΣ ΒΕΣΥΡΟΠΟΥΛΟΣ 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mybusinesssupport"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