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6ΒΟΚ46ΜΠ3Ζ-ΨΟ8</w:t>
      </w:r>
    </w:p>
    <w:p>
      <w:pPr>
        <w:spacing w:before="240" w:after="240"/>
        <w:rPr>
          <w:lang w:val="el" w:eastAsia="el"/>
        </w:rPr>
      </w:pPr>
      <w:r>
        <w:rPr>
          <w:b/>
          <w:bCs/>
          <w:lang w:val="el" w:eastAsia="el"/>
        </w:rPr>
        <w:t>ΑΡΙΘ. ΦΕΚ:4755Β/27-10-2020</w:t>
      </w:r>
    </w:p>
    <w:p>
      <w:pPr>
        <w:spacing w:before="240" w:after="240"/>
        <w:rPr>
          <w:lang w:val="el" w:eastAsia="el"/>
        </w:rPr>
      </w:pPr>
      <w:r>
        <w:rPr>
          <w:b/>
          <w:bCs/>
          <w:lang w:val="el" w:eastAsia="el"/>
        </w:rPr>
        <w:t>Μοσχάτο, 23-10-2020</w:t>
      </w:r>
    </w:p>
    <w:p>
      <w:pPr>
        <w:spacing w:before="240" w:after="240"/>
        <w:rPr>
          <w:lang w:val="el" w:eastAsia="el"/>
        </w:rPr>
      </w:pPr>
      <w:r>
        <w:rPr>
          <w:b/>
          <w:bCs/>
          <w:lang w:val="el" w:eastAsia="el"/>
        </w:rPr>
        <w:t>Α. 1239</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ΘEΜA: Παράταση έως 31/12/2020 της προθεσμίας αναβάθμισης των ενεργών ΦΗΜ σύμφωνα με τα οριζόμενα στην Απόφαση Διοικητή ΑΑΔΕ Α.1024/2020 «Συμπληρωματικές τεχνικές προδιαγραφές πρωτοκόλλου επικοινωνίας και κρυπτογράφησης για την διαβίβαση δεδομένων στο πληροφοριακό σύστημα των ΦΗΜ» (Β’ 317), όπως ισχύει.</w:t>
      </w:r>
    </w:p>
    <w:p>
      <w:pPr>
        <w:spacing w:before="240" w:after="240"/>
        <w:rPr>
          <w:lang w:val="el" w:eastAsia="el"/>
        </w:rPr>
      </w:pPr>
      <w:r>
        <w:rPr>
          <w:b/>
          <w:bCs/>
          <w:lang w:val="el" w:eastAsia="el"/>
        </w:rPr>
        <w:t>ΑΠΟΦΑΣΗO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Απόφασης Διοικητή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τροποποιήθηκε με τις Αποφάσεις Διοικητή ΑΑΔΕ Α.1102/2020 (Β’ 1812) και Α.1175/2020(Β’3293).</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3. Την ανάγκη παροχής πρόσθετου χρόνου για τη διευκόλυνση των επιχειρήσεων ως προς την εκπλήρωση της υποχρέωσης αναβάθμισης λογισμικών των χρησιμοποιούμενων Φορολογικών Ηλεκτρονικών Μηχανισμών (Φορολογικών Ταμειακών Μηχανών, ΑΔΗΜΕ, ΕΑΦΔΣΣ, ΑΔΗΜΕ ταξιμέτρου), που αφορούν στο πρωτόκολλο επικοινωνίας και κρυπτογράφησης για την διαβίβαση των δεδομένων τους στο πληροφοριακό σύστημα των ΦΗΜ, σε συνάφεια με τα μέτρα που λαμβάνονται για την αντιμετώπιση των αρνητικών συνεπειών εμφάνισης του ιού COVID-19 και της ανάγκης περιορισμού της διάδοσής του.</w:t>
      </w:r>
    </w:p>
    <w:p>
      <w:pPr>
        <w:spacing w:before="240" w:after="240"/>
        <w:rPr>
          <w:lang w:val="el" w:eastAsia="el"/>
        </w:rPr>
      </w:pPr>
      <w:r>
        <w:rPr>
          <w:b/>
          <w:bCs/>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Απόφαση του Διοικητή της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ισχύει, ως ακολούθως:</w:t>
      </w:r>
    </w:p>
    <w:p>
      <w:pPr>
        <w:spacing w:before="240" w:after="240"/>
        <w:rPr>
          <w:lang w:val="el" w:eastAsia="el"/>
        </w:rPr>
      </w:pPr>
      <w:r>
        <w:rPr>
          <w:b/>
          <w:bCs/>
          <w:lang w:val="el" w:eastAsia="el"/>
        </w:rPr>
        <w:t>Η περίπτωση β’ της παραγράφου 6.3 του άρθρου 6 αντικαθίσταται ως εξής:</w:t>
      </w:r>
    </w:p>
    <w:p>
      <w:pPr>
        <w:spacing w:before="240" w:after="240"/>
        <w:rPr>
          <w:lang w:val="el" w:eastAsia="el"/>
        </w:rPr>
      </w:pPr>
      <w:r>
        <w:rPr>
          <w:b/>
          <w:bCs/>
          <w:lang w:val="el" w:eastAsia="el"/>
        </w:rPr>
        <w:t xml:space="preserve">«β. Με εξαίρεση τις ΑΔΗΜΕ ταξιμέτρου, οι υπάρχοντες ενεργοί ΦΗΜ υποχρεούνται σε αναβάθμιση σύμφωνα με τα οριζόμενα στην παρούσα μέχρι </w:t>
      </w:r>
      <w:r>
        <w:rPr>
          <w:b/>
          <w:bCs/>
          <w:lang w:val="el" w:eastAsia="el"/>
        </w:rPr>
        <w:t>31/12/2020</w:t>
      </w:r>
      <w:r>
        <w:rPr>
          <w:b/>
          <w:bCs/>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3.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δ)</w:t>
      </w:r>
      <w:r>
        <w:rPr>
          <w:b/>
          <w:bCs/>
          <w:lang w:val="en" w:eastAsia="en"/>
        </w:rPr>
        <w:tab/>
      </w:r>
      <w:r>
        <w:rPr>
          <w:b/>
          <w:bCs/>
          <w:lang w:val="el" w:eastAsia="el"/>
        </w:rPr>
        <w:t>Κεντρική Υπηρεσία Σ.Δ.Ο.Ε. και Περιφερειακές Δ/νσεις.</w:t>
      </w:r>
    </w:p>
    <w:p>
      <w:pPr>
        <w:spacing w:before="240" w:after="240"/>
        <w:rPr>
          <w:lang w:val="el" w:eastAsia="el"/>
        </w:rPr>
      </w:pPr>
      <w:r>
        <w:rPr>
          <w:b/>
          <w:bCs/>
          <w:lang w:val="el" w:eastAsia="el"/>
        </w:rPr>
        <w:t>4.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 δ) 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κου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p>
      <w:pPr>
        <w:spacing w:before="240" w:after="240"/>
        <w:rPr>
          <w:lang w:val="el" w:eastAsia="el"/>
        </w:rPr>
      </w:pPr>
      <w:r>
        <w:rPr>
          <w:b/>
          <w:bCs/>
          <w:lang w:val="el" w:eastAsia="el"/>
        </w:rPr>
        <w:t>4. Διεύθυνση Διαχείρισης Υποδομών</w:t>
      </w:r>
    </w:p>
    <w:p>
      <w:pPr>
        <w:spacing w:before="240" w:after="240"/>
        <w:rPr>
          <w:lang w:val="el" w:eastAsia="el"/>
        </w:rPr>
      </w:pPr>
      <w:r>
        <w:rPr>
          <w:b/>
          <w:bCs/>
          <w:lang w:val="el" w:eastAsia="el"/>
        </w:rPr>
        <w:t>5. Αυτοτελές Tμήμα Ασφάλειας Γ.Δ.ΗΛΕ.Δ.</w:t>
      </w:r>
    </w:p>
    <w:p>
      <w:pPr>
        <w:spacing w:before="240" w:after="240"/>
        <w:rPr>
          <w:lang w:val="el" w:eastAsia="el"/>
        </w:rPr>
      </w:pPr>
      <w:r>
        <w:rPr>
          <w:b/>
          <w:bCs/>
          <w:lang w:val="el" w:eastAsia="el"/>
        </w:rPr>
        <w:t>6. Διεύθυνση Νομικής Υποστήριξης</w:t>
      </w:r>
    </w:p>
    <w:p>
      <w:pPr>
        <w:spacing w:before="240" w:after="240"/>
        <w:rPr>
          <w:lang w:val="el" w:eastAsia="el"/>
        </w:rPr>
      </w:pPr>
      <w:r>
        <w:rPr>
          <w:b/>
          <w:bCs/>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