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ΕΠΕΙΓΟΥΣΑ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I.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lang w:val="el" w:eastAsia="el"/>
        </w:rPr>
        <w:t xml:space="preserve">II.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Σίνα 2-4 10672 ΑΘΗΝΑ 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deef.a@aade.gr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«Παράταση του χρόνου υποβολής δηλώσεων ΦΠΑ και καταβολής φόρου που προκύπτει από αυτές με καταληκτική προθεσμία υποβολής την 30</w:t>
      </w:r>
      <w:r>
        <w:rPr>
          <w:b/>
          <w:bCs/>
          <w:sz w:val="30"/>
          <w:szCs w:val="30"/>
          <w:u w:val="single"/>
          <w:vertAlign w:val="superscript"/>
          <w:lang w:val="el" w:eastAsia="el"/>
        </w:rPr>
        <w:t>η</w:t>
      </w:r>
      <w:r>
        <w:rPr>
          <w:b/>
          <w:bCs/>
          <w:u w:val="single"/>
          <w:lang w:val="el" w:eastAsia="el"/>
        </w:rPr>
        <w:t xml:space="preserve"> Οκτωβρίου 2020 για τους υποκείμενους που έχουν την έδρα της επιχειρηματικής τους δραστηριότητας και ανήκουν στη χωρική αρμοδιότητα της Δ.Ο.Υ. Σάμου.»</w:t>
      </w:r>
    </w:p>
    <w:p>
      <w:pPr>
        <w:spacing w:before="240" w:after="240"/>
        <w:rPr>
          <w:lang w:val="el" w:eastAsia="el"/>
        </w:rPr>
      </w:pPr>
      <w:r>
        <w:rPr>
          <w:b/>
          <w:bCs/>
          <w:u w:val="single"/>
          <w:lang w:val="el" w:eastAsia="el"/>
        </w:rPr>
        <w:t>ΑΠΟΦΑΣΗΟ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περίπτωσης β΄ της παρ. 12 του άρθρου 38 του Κώδικα ΦΠΑ (ν. 2859/2000) – (Α΄ 248), όπως ισχύουν, με τις οποίες προβλέπεται ότι με απόφαση του Γενικού Γραμματέα Δημοσίων Εσόδων δύναται να πα- ρατείνεται ο χρόνος υποβολής της δήλωσης ΦΠΑ και καταβολής του φόρου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 όπως ισχύουν,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τις διατάξεις της περίπτωσης β΄ της παρ. 4 του άρθρου 36 καθώς και του άρθρου 38 του Κώδικα ΦΠΑ (ν.2859/2000), (Α΄ 248), όπως ισχύουν,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τις διατάξεις του άρθρου 41 του Κώδικα Φορολογικής Διαδικασίας (ν. 4174/2013) – (Α΄ 170), όπως ισχύει.</w:t>
      </w:r>
    </w:p>
    <w:p>
      <w:pPr>
        <w:spacing w:before="240" w:after="240"/>
        <w:rPr>
          <w:lang w:val="el" w:eastAsia="el"/>
        </w:rPr>
      </w:pPr>
      <w:r>
        <w:rPr>
          <w:b/>
          <w:bCs/>
          <w:u w:val="single"/>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b/>
          <w:bCs/>
          <w:u w:val="single"/>
          <w:lang w:val="el" w:eastAsia="el"/>
        </w:rPr>
        <w:t>3. Την υπό στοιχεία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w:t>
      </w:r>
    </w:p>
    <w:p>
      <w:pPr>
        <w:spacing w:before="240" w:after="240"/>
        <w:rPr>
          <w:lang w:val="el" w:eastAsia="el"/>
        </w:rPr>
      </w:pPr>
      <w:r>
        <w:rPr>
          <w:b/>
          <w:bCs/>
          <w:u w:val="single"/>
          <w:lang w:val="el" w:eastAsia="el"/>
        </w:rPr>
        <w:t>4. Τις διατάξεις της υποπαρ. Ε2 της παρ. Ε του πρώτου άρθρου του ν. 4093/2012 (Α΄ 222),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b/>
          <w:bCs/>
          <w:u w:val="single"/>
          <w:lang w:val="el" w:eastAsia="el"/>
        </w:rPr>
        <w:t>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και την υπό στοιχεία 5294/ΕΞ 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u w:val="single"/>
          <w:lang w:val="el" w:eastAsia="el"/>
        </w:rPr>
        <w:t>6. Την ανάγκη εξυπηρέτησης και διευκόλυνσης των υποκειμένων στο φόρο για την υποβολή δηλώσεων Φ.Π.Α. και καταβολής φόρου</w:t>
      </w:r>
    </w:p>
    <w:p>
      <w:pPr>
        <w:spacing w:before="240" w:after="240"/>
        <w:rPr>
          <w:lang w:val="el" w:eastAsia="el"/>
        </w:rPr>
      </w:pPr>
      <w:r>
        <w:rPr>
          <w:b/>
          <w:bCs/>
          <w:u w:val="single"/>
          <w:lang w:val="el" w:eastAsia="el"/>
        </w:rPr>
        <w:t>7. Την ανάγκη εξυπηρέτησης και διευκόλυνσης των υποκειμένων στο φόρο για την υποβολή δηλώσεων ΦΠΑ και καταβολής φόρου, διότι λόγω της σεισμικής δόνησης που σημειώθηκε την 30ή Οκτωβρίου 2020 και των ζημιών που αυτή προκάλεσε, απορρυθμίστηκε η οικονομική και κοινωνική ζωή των κατοίκων στις νήσους αυτές .</w:t>
      </w:r>
    </w:p>
    <w:p>
      <w:pPr>
        <w:spacing w:before="240" w:after="240"/>
        <w:rPr>
          <w:lang w:val="el" w:eastAsia="el"/>
        </w:rPr>
      </w:pPr>
      <w:r>
        <w:rPr>
          <w:b/>
          <w:bCs/>
          <w:u w:val="single"/>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Αποφασίζουμε</w:t>
      </w:r>
    </w:p>
    <w:p>
      <w:pPr>
        <w:spacing w:before="240" w:after="240"/>
        <w:rPr>
          <w:lang w:val="el" w:eastAsia="el"/>
        </w:rPr>
      </w:pPr>
      <w:r>
        <w:rPr>
          <w:b/>
          <w:bCs/>
          <w:u w:val="single"/>
          <w:lang w:val="el" w:eastAsia="el"/>
        </w:rPr>
        <w:t xml:space="preserve">1. Παρατείνεται μέχρι και την </w:t>
      </w:r>
      <w:r>
        <w:rPr>
          <w:b/>
          <w:bCs/>
          <w:u w:val="single"/>
          <w:lang w:val="el" w:eastAsia="el"/>
        </w:rPr>
        <w:t xml:space="preserve">30-11-2020 </w:t>
      </w:r>
      <w:r>
        <w:rPr>
          <w:b/>
          <w:bCs/>
          <w:u w:val="single"/>
          <w:lang w:val="el" w:eastAsia="el"/>
        </w:rPr>
        <w:t xml:space="preserve">για τους υποκείμενους που έχουν την έδρα της επιχειρηματικής τους δραστηριότητας και ανήκουν στην χωρική αρμοδιότητα της Δ.Ο.Υ. Σάμου, η προθεσμία υποβολής των δηλώσεων Φ.Π.Α. των οποίων η καταληκτική προθεσμία υποβολής τους είναι στις 30-10-2020, και η προθεσμία καταβολής του φόρου που τυχόν προκύπτει από αυτές μέχρι και </w:t>
      </w:r>
      <w:r>
        <w:rPr>
          <w:b/>
          <w:bCs/>
          <w:u w:val="single"/>
          <w:lang w:val="el" w:eastAsia="el"/>
        </w:rPr>
        <w:t>3011-2020</w:t>
      </w:r>
      <w:r>
        <w:rPr>
          <w:b/>
          <w:bCs/>
          <w:u w:val="single"/>
          <w:lang w:val="el" w:eastAsia="el"/>
        </w:rPr>
        <w:t>. Η ιδία ημερομηνία (</w:t>
      </w:r>
      <w:r>
        <w:rPr>
          <w:b/>
          <w:bCs/>
          <w:u w:val="single"/>
          <w:lang w:val="el" w:eastAsia="el"/>
        </w:rPr>
        <w:t xml:space="preserve">30-11-2020) </w:t>
      </w:r>
      <w:r>
        <w:rPr>
          <w:b/>
          <w:bCs/>
          <w:u w:val="single"/>
          <w:lang w:val="el" w:eastAsia="el"/>
        </w:rPr>
        <w:t>είναι καταληκτική και για τις δύο δόσεις στην περίπτωση επιλογής καταβολής του οφειλόμενου ποσού σε δόσεις.</w:t>
      </w:r>
    </w:p>
    <w:p>
      <w:pPr>
        <w:spacing w:before="240" w:after="240"/>
        <w:rPr>
          <w:lang w:val="el" w:eastAsia="el"/>
        </w:rPr>
      </w:pPr>
      <w:r>
        <w:rPr>
          <w:b/>
          <w:bCs/>
          <w:u w:val="single"/>
          <w:lang w:val="el" w:eastAsia="el"/>
        </w:rPr>
        <w:t>2. Οι ανωτέρω δηλώσεις ΦΠΑ υποβάλλονται με ηλεκτρονικό τρόπο, σύμφωνα με τις ισχύουσες αποφάσεις.</w:t>
      </w:r>
    </w:p>
    <w:p>
      <w:pPr>
        <w:spacing w:before="240" w:after="240"/>
        <w:rPr>
          <w:lang w:val="el" w:eastAsia="el"/>
        </w:rPr>
      </w:pPr>
      <w:r>
        <w:rPr>
          <w:b/>
          <w:bCs/>
          <w:u w:val="single"/>
          <w:lang w:val="el" w:eastAsia="el"/>
        </w:rPr>
        <w:t>3. Η παρούσα απόφαση ισχύει από τον χρόνο υπογραφής της.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ΑΡΧΗΣΔΗΜΟΣΙΩΝ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Αποδέκτες Πίνακα Γ΄, πλην του αριθμ. 2.</w:t>
      </w:r>
    </w:p>
    <w:p>
      <w:pPr>
        <w:spacing w:before="240" w:after="240"/>
        <w:rPr>
          <w:lang w:val="el" w:eastAsia="el"/>
        </w:rPr>
      </w:pPr>
      <w:r>
        <w:rPr>
          <w:b/>
          <w:bCs/>
          <w:u w:val="single"/>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3. Εθνικό Τυπογραφείο για δημοσίευση στο ΦΕΚ</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75"/>
        <w:gridCol w:w="875"/>
        <w:gridCol w:w="69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4 περ. β΄ (με την υποχρέωση του υπουργείου Δικαιοσύνης 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ενημερώσει όλους τους φορείς αρμοδιότητας του) και ζ΄, 5 περ. α΄,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b/>
          <w:bCs/>
          <w:u w:val="single"/>
          <w:lang w:val="el" w:eastAsia="el"/>
        </w:rPr>
        <w:t>17. Γραφείο Υπουργού Οικονομικών.</w:t>
      </w:r>
    </w:p>
    <w:p>
      <w:pPr>
        <w:spacing w:before="240" w:after="240"/>
        <w:rPr>
          <w:lang w:val="el" w:eastAsia="el"/>
        </w:rPr>
      </w:pPr>
      <w:r>
        <w:rPr>
          <w:b/>
          <w:bCs/>
          <w:u w:val="single"/>
          <w:lang w:val="el" w:eastAsia="el"/>
        </w:rPr>
        <w:t>18. Γραφείο Υπουργού Οικονομικών κ. Χ. Σταικούρα</w:t>
      </w:r>
    </w:p>
    <w:p>
      <w:pPr>
        <w:spacing w:before="240" w:after="240"/>
        <w:rPr>
          <w:lang w:val="el" w:eastAsia="el"/>
        </w:rPr>
      </w:pPr>
      <w:r>
        <w:rPr>
          <w:b/>
          <w:bCs/>
          <w:u w:val="single"/>
          <w:lang w:val="el" w:eastAsia="el"/>
        </w:rPr>
        <w:t>19. Γραφείο Υφυπουργού Οικονομικών κ. Α. Βεσυρόπουλου</w:t>
      </w:r>
    </w:p>
    <w:p>
      <w:pPr>
        <w:spacing w:before="240" w:after="240"/>
        <w:rPr>
          <w:lang w:val="el" w:eastAsia="el"/>
        </w:rPr>
      </w:pPr>
      <w:r>
        <w:rPr>
          <w:b/>
          <w:bCs/>
          <w:u w:val="single"/>
          <w:lang w:val="el" w:eastAsia="el"/>
        </w:rPr>
        <w:t>20. 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Διοικητού ΑΑΔΕ.</w:t>
      </w:r>
    </w:p>
    <w:p>
      <w:pPr>
        <w:spacing w:before="240" w:after="240"/>
        <w:rPr>
          <w:lang w:val="el" w:eastAsia="el"/>
        </w:rPr>
      </w:pPr>
      <w:r>
        <w:rPr>
          <w:b/>
          <w:bCs/>
          <w:u w:val="single"/>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