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124418 ΕΞ 202</w:t>
      </w:r>
      <w:r>
        <w:rPr>
          <w:lang w:val="el" w:eastAsia="el"/>
        </w:rPr>
        <w:t xml:space="preserve">0 </w:t>
      </w:r>
    </w:p>
    <w:p>
      <w:pPr>
        <w:pStyle w:val="PreambelText"/>
        <w:spacing w:before="240" w:after="240"/>
        <w:rPr>
          <w:lang w:val="el" w:eastAsia="el"/>
        </w:rPr>
      </w:pPr>
      <w:r>
        <w:rPr>
          <w:b/>
          <w:bCs/>
          <w:lang w:val="el" w:eastAsia="el"/>
        </w:rPr>
        <w:t>Καθορισμός αποζημίωσης των πληγέντων από τις πλημμύρες της 16ης και 17ης Νοεμβρίου 2017 σε περιοχές της Περιφερειακής Ενότητας Πιερίας της Περιφέρειας Κεντρικής Μακεδονίας.</w:t>
      </w:r>
    </w:p>
    <w:p>
      <w:pPr>
        <w:pStyle w:val="PreambelText"/>
        <w:spacing w:before="240" w:after="240"/>
        <w:rPr>
          <w:lang w:val="el" w:eastAsia="el"/>
        </w:rPr>
      </w:pPr>
      <w:r>
        <w:rPr>
          <w:b/>
          <w:bCs/>
          <w:lang w:val="el" w:eastAsia="el"/>
        </w:rPr>
        <w:t>ΟΙ ΥΠΟΥΡΓΟΙ ΟΙΚΟΝΟΜΙΚΩΝ - ΑΝΑΠΤΥΞΗΣ ΚΑΙ ΕΠΕΝΔΥΣΕΩΝ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(A’17), όπως ισχύει.</w:t>
      </w:r>
    </w:p>
    <w:p>
      <w:pPr>
        <w:pStyle w:val="PreambelText"/>
        <w:spacing w:before="240" w:after="240"/>
        <w:rPr>
          <w:lang w:val="el" w:eastAsia="el"/>
        </w:rPr>
      </w:pPr>
      <w:r>
        <w:rPr>
          <w:lang w:val="el" w:eastAsia="el"/>
        </w:rPr>
        <w:t>2. Τις διατάξεις του άρθρου 10 του ν. 2576/1998 «Βελτίωση των διαδικασιών για την ανάθεση της κατασκευής των δημοσίων έργων και άλλες διατάξεις» (A’25), όπως τροποποιήθηκε με τις διατάξεις του άρθρου 84 του ν. 4313/2014 «Ρυθμίσεις θεμάτων Μεταφορών, Τηλεπικοινωνιών και Δημοσίων Έργων και άλλες διατάξεις» (A’261) και ισχύει.</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υπό στοιχεία 2011/85/ΕΕ) - δημόσιο λογιστικό και άλλες διατάξεις» (A’143), όπως ισχύει.</w:t>
      </w:r>
    </w:p>
    <w:p>
      <w:pPr>
        <w:pStyle w:val="PreambelText"/>
        <w:spacing w:before="240" w:after="240"/>
        <w:rPr>
          <w:lang w:val="el" w:eastAsia="el"/>
        </w:rPr>
      </w:pPr>
      <w:r>
        <w:rPr>
          <w:lang w:val="el" w:eastAsia="el"/>
        </w:rPr>
        <w:t>4.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5. Τις διατάξεις των άρθρων 90 του άρθρου πρώτου του π.δ. 63/2005 «Κωδικοποίηση της νομοθεσίας για την Κυβέρνηση και τα κυβερνητικά όργανα» (A’98) σε συνδυασμό με την παρ. 22 του άρθρου 119 του ν. 4622/2019 (Α’133).</w:t>
      </w:r>
    </w:p>
    <w:p>
      <w:pPr>
        <w:pStyle w:val="PreambelText"/>
        <w:spacing w:before="240" w:after="240"/>
        <w:rPr>
          <w:lang w:val="el" w:eastAsia="el"/>
        </w:rPr>
      </w:pPr>
      <w:r>
        <w:rPr>
          <w:lang w:val="el" w:eastAsia="el"/>
        </w:rPr>
        <w:t>6. Τις διατάξεις των άρθρων 2, 3 και 5 του π.δ. 70/2015 περί ανασύστασης και μετονομασίας Υπουργείων, μεταφοράς της Γενικής Γραμματείας Βιομηχανίας (A’114).</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(A’121) και τις διατάξεις της υπό στοιχεία Υ2/9-7-2019 απόφασης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8. Τις διατάξεις του άρθρου 5 του π.δ. 80/2016 «Ανάληψη υποχρεώσεων από τους Διατάκτες» (A’145).</w:t>
      </w:r>
    </w:p>
    <w:p>
      <w:pPr>
        <w:pStyle w:val="PreambelText"/>
        <w:spacing w:before="240" w:after="240"/>
        <w:rPr>
          <w:lang w:val="el" w:eastAsia="el"/>
        </w:rPr>
      </w:pPr>
      <w:r>
        <w:rPr>
          <w:lang w:val="el" w:eastAsia="el"/>
        </w:rPr>
        <w:t>9. Το π.δ. 142/2017 «Οργανισμός του Υπουργείου Οικονομικών» (A’181), όπως ισχύει</w:t>
      </w:r>
    </w:p>
    <w:p>
      <w:pPr>
        <w:pStyle w:val="PreambelText"/>
        <w:spacing w:before="240" w:after="240"/>
        <w:rPr>
          <w:lang w:val="el" w:eastAsia="el"/>
        </w:rPr>
      </w:pPr>
      <w:r>
        <w:rPr>
          <w:lang w:val="el" w:eastAsia="el"/>
        </w:rPr>
        <w:t>10. Το π.δ. 147/2017 «Οργανισμός του Υπουργείου Οικονομίας και Ανάπτυξης» (A’192), όπως ισχύει.</w:t>
      </w:r>
    </w:p>
    <w:p>
      <w:pPr>
        <w:pStyle w:val="PreambelText"/>
        <w:spacing w:before="240" w:after="240"/>
        <w:rPr>
          <w:lang w:val="el" w:eastAsia="el"/>
        </w:rPr>
      </w:pPr>
      <w:r>
        <w:rPr>
          <w:lang w:val="el" w:eastAsia="el"/>
        </w:rPr>
        <w:t>11. Το π.δ. 123/2017 «Οργανισμός του Υπουργείου Υποδομών και Μεταφορών» (A’151), όπως ισχύει.</w:t>
      </w:r>
    </w:p>
    <w:p>
      <w:pPr>
        <w:pStyle w:val="PreambelText"/>
        <w:spacing w:before="240" w:after="240"/>
        <w:rPr>
          <w:lang w:val="el" w:eastAsia="el"/>
        </w:rPr>
      </w:pPr>
      <w:r>
        <w:rPr>
          <w:lang w:val="el" w:eastAsia="el"/>
        </w:rPr>
        <w:t>12.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(Α’119).</w:t>
      </w:r>
    </w:p>
    <w:p>
      <w:pPr>
        <w:pStyle w:val="PreambelText"/>
        <w:spacing w:before="240" w:after="240"/>
        <w:rPr>
          <w:lang w:val="el" w:eastAsia="el"/>
        </w:rPr>
      </w:pPr>
      <w:r>
        <w:rPr>
          <w:lang w:val="el" w:eastAsia="el"/>
        </w:rPr>
        <w:t>13. Την υπ’ αρ. 338/18-7-2019 κοινή απόφαση του Πρωθυπουργού και του Υπουργού Οικονομικών «Ανάθεση αρμοδιοτήτων στον Υφυπουργό Οικονομικών, Γεώργιο Ζαββό» (Β’3051).</w:t>
      </w:r>
    </w:p>
    <w:p>
      <w:pPr>
        <w:pStyle w:val="PreambelText"/>
        <w:spacing w:before="240" w:after="240"/>
        <w:rPr>
          <w:lang w:val="el" w:eastAsia="el"/>
        </w:rPr>
      </w:pPr>
      <w:r>
        <w:rPr>
          <w:lang w:val="el" w:eastAsia="el"/>
        </w:rPr>
        <w:t>14. Την υπ’ αρ. 85847/12-8-2020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(Β’3375).</w:t>
      </w:r>
    </w:p>
    <w:p>
      <w:pPr>
        <w:pStyle w:val="PreambelText"/>
        <w:spacing w:before="240" w:after="240"/>
        <w:rPr>
          <w:lang w:val="el" w:eastAsia="el"/>
        </w:rPr>
      </w:pPr>
      <w:r>
        <w:rPr>
          <w:lang w:val="el" w:eastAsia="el"/>
        </w:rPr>
        <w:t>15.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(A’112) και τον ν. 3469/2006 «Εθνικό Τυπογραφείο, Εφημερίς της Κυβερνήσεως και λοιπές διατάξεις» (A’131).</w:t>
      </w:r>
    </w:p>
    <w:p>
      <w:pPr>
        <w:pStyle w:val="PreambelText"/>
        <w:spacing w:before="240" w:after="240"/>
        <w:rPr>
          <w:lang w:val="el" w:eastAsia="el"/>
        </w:rPr>
      </w:pPr>
      <w:r>
        <w:rPr>
          <w:lang w:val="el" w:eastAsia="el"/>
        </w:rPr>
        <w:t>16. Τις διατάξεις της παρ. 2 του άρθρου 17, του ν. 4038/2012 «Επείγουσες ρυθμίσεις που αφορούν την εφαρμογή του μεσοπρόθεσμου πλαισίου δημοσιονομικής στρατηγικής 2012-2015» (A’14).</w:t>
      </w:r>
    </w:p>
    <w:p>
      <w:pPr>
        <w:pStyle w:val="PreambelText"/>
        <w:spacing w:before="240" w:after="240"/>
        <w:rPr>
          <w:lang w:val="el" w:eastAsia="el"/>
        </w:rPr>
      </w:pPr>
      <w:r>
        <w:rPr>
          <w:lang w:val="el" w:eastAsia="el"/>
        </w:rPr>
        <w:t>17. Την υπό στοιχεία 20725/Β.979/10-05-2011 απόφαση του Υπουργού Οικονομικών «Καθορισμός διαδικασιών για την εφαρμογή των διατάξεων του άρθρου 36 του ν. 2459/1997» (Β’1207), όπως τροποποιήθηκε με τις υπό στοιχεία Γ.Δ.Ο.Π. 0000811 ΕΞ2017/24-05-2017 (Β’1927) και 107541/ΕΞ 2020/25-09-2020 (Β’4181) αποφάσεις του Υπουργού Οικονομικών.</w:t>
      </w:r>
    </w:p>
    <w:p>
      <w:pPr>
        <w:pStyle w:val="PreambelText"/>
        <w:spacing w:before="240" w:after="240"/>
        <w:rPr>
          <w:lang w:val="el" w:eastAsia="el"/>
        </w:rPr>
      </w:pPr>
      <w:r>
        <w:rPr>
          <w:lang w:val="el" w:eastAsia="el"/>
        </w:rPr>
        <w:t>18. α) Την παρ. 2β του άρθρου 107 της Συνθήκης για τη λειτουργία της Ευρωπαϊκής Ένωσης (επίσημη εφημερίδα της Ευρωπαϊκής Ένωσης υπό στοιχεία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(υπό στοιχεία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(υπό στοιχεία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υπ’αρ.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κατ’εφαρμογή των άρθρων 107 και 108 της Συνθήκης για τη λειτουργία της Ευρωπαϊκής Ένωσης (υπό στοιχεία EE L 369 της 24/12/2004 σελ. 37), και ιδίως τα άρθρα 7, 9, 12, 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υπ’αρ. 651/2014 και του Κανονισμού (ΕΕ) υπ’αρ.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19. Την υπό στοιχεία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(Α’17/1997)» (Β’985).</w:t>
      </w:r>
    </w:p>
    <w:p>
      <w:pPr>
        <w:pStyle w:val="PreambelText"/>
        <w:spacing w:before="240" w:after="240"/>
        <w:rPr>
          <w:lang w:val="el" w:eastAsia="el"/>
        </w:rPr>
      </w:pPr>
      <w:r>
        <w:rPr>
          <w:lang w:val="el" w:eastAsia="el"/>
        </w:rPr>
        <w:t>20. Την υπό στοιχεία Δ.Α.Ε.Φ.Κ.-Κ.Ε./11589/2018/Α325/ 9-4-2019 (Β’1476) κοινή απόφαση των Υπουργών Εσωτερικών - Οικονομίας και Ανάπτυξης - Οικονομικών - Υποδομών και Μεταφορών, με την οποία οριοθετούνται περιοχές της Περιφερειακής Ενότητας Πιερίας της Περιφέρειας Κεντρικής Μακεδονίας.</w:t>
      </w:r>
    </w:p>
    <w:p>
      <w:pPr>
        <w:pStyle w:val="PreambelText"/>
        <w:spacing w:before="240" w:after="240"/>
        <w:rPr>
          <w:lang w:val="el" w:eastAsia="el"/>
        </w:rPr>
      </w:pPr>
      <w:r>
        <w:rPr>
          <w:lang w:val="el" w:eastAsia="el"/>
        </w:rPr>
        <w:t>21. Την υπό στοιχεία 938/ΑΖ11/15-4-1998 εγκύκλιο του Υπουργείου Περιβάλλοντος, Χωροταξίας και Δημοσίων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22. Τα υπό στοιχεία ΑΠΟΖ/171457/(1288)/οικ./17-3- 2020 και ΑΠΟΖ/444308(4011)/21-8-2020 έγγραφα του Τμήματος Πολιτικής Προστασίας Πιερίας, της Αυτοτελούς Διεύθυνσης Πολιτικής Προστασίας της Περιφερειακής Ενότητας Πιερίας.</w:t>
      </w:r>
    </w:p>
    <w:p>
      <w:pPr>
        <w:pStyle w:val="PreambelText"/>
        <w:spacing w:before="240" w:after="240"/>
        <w:rPr>
          <w:lang w:val="el" w:eastAsia="el"/>
        </w:rPr>
      </w:pPr>
      <w:r>
        <w:rPr>
          <w:lang w:val="el" w:eastAsia="el"/>
        </w:rPr>
        <w:t>23. Το υπό στοιχεία 71892ΕΞ2020/9-7-2020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Την ανάγκη υποστήριξης των επιχειρήσεων που είναι εγκατεστημένες και λειτουργούν σε περιοχές της Περιφερειακής Ενότητας Πιερίας της Περιφέρειας Κεντρικής Μακεδονίας και επλήγησαν από τις πλημμύρες της 16ης και 17ης Νοεμβρίου 2017.</w:t>
      </w:r>
    </w:p>
    <w:p>
      <w:pPr>
        <w:pStyle w:val="PreambelText"/>
        <w:spacing w:before="240" w:after="240"/>
        <w:rPr>
          <w:lang w:val="el" w:eastAsia="el"/>
        </w:rPr>
      </w:pPr>
      <w:r>
        <w:rPr>
          <w:lang w:val="el" w:eastAsia="el"/>
        </w:rPr>
        <w:t>25. Το γεγονός ότι, από τις διατάξεις της παρούσας προκαλείται δαπάνη ύψους 500.485,00 ευρώ περίπου σε βάρος του Προϋπολογισμού Δημοσίων Επενδύσεων του Υπουργείου Ανάπτυξης και Επενδύσεων (ΣΑΕ 027/0-ΚΩΔ. ΕΡΓΟΥ Π.Δ.Ε. 2012ΣΕ02700000 - Τομέας Βιομηχανίας - Βιοτεχνίας). Μέρος της ανωτέρω δαπάνης ύψους 436.795,00 ευρώ περίπου εμπίπτει στις διατάξεις του Κανονισμού (ΕΕ) υπ’αρ. 651/2014, δαπάνη ύψους 49.065,00 ευρώ περίπου εμπίπτει στις διατάξεις του Κανονισμού (ΕΕ) υπ’αρ. 702/2014 και το υπόλοιπο αυτής ύψους 14.625,00 ευρώ περίπου εμπίπτει στις διατάξεις του Κανονισμού (ΕΕ) υπ’αρ.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16ης και 17ης Νοεμβρίου 2017 σε περιοχές της Περιφερειακής Ενότητας Πιερίας της Περιφέρειας Κεντρικής Μακεδονίας, οι οποίες έχουν οριοθετηθεί με την υπό στοιχεία Δ.Α.Ε.Φ.Κ.-ΚΕ/11589/2018/Α325/9-4-2019 κοινή απόφαση των Υπουργών Εσωτερικών - Οικονομίας και Ανάπτυξης - Οικονομικών - Υποδομών και Μεταφορών, σύμφωνα με τις διατάξεις του άρθρου 36 του ν. 2459/1997, όπως ισχύει και των Κανονισμών (ΕΕ) υπ’αρ.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υπ’αρ. 651/2014, την παρ. 4 του άρθρου 30 του Κανονισμού (ΕΕ) υπ’αρ. 702/2014 και την παρ. 4 του άρθρου 44 του Κανονισμού (ΕΕ) υπ’αρ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των Κανονισμών (ΕΕ) υπ’αρ.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 Β11 του ν. 4152/2013, όπως ισχύει.</w:t>
      </w:r>
    </w:p>
    <w:p>
      <w:pPr>
        <w:pStyle w:val="MainText"/>
        <w:spacing w:before="120" w:after="0"/>
        <w:rPr>
          <w:lang w:val="el" w:eastAsia="el"/>
        </w:rPr>
      </w:pPr>
      <w:r>
        <w:rPr>
          <w:b/>
          <w:bCs/>
          <w:lang w:val="el" w:eastAsia="el"/>
        </w:rPr>
        <w:t>6.</w:t>
      </w:r>
      <w:r>
        <w:rPr>
          <w:lang w:val="el" w:eastAsia="el"/>
        </w:rPr>
        <w:t xml:space="preserve"> Η επιχορήγηση καταβάλλεται στους δικαιούχους από την Γενική Διεύθυνση Οικονομικών Υπηρεσιών, του Υπουργείου Ανάπτυξης και Επενδύσεων, μετά από προσκόμιση των κάτωθι εγγράφων στη Διεύθυνση Βιομηχανικής Πολιτικής, της Γενικής Γραμματείας Βιομηχανίας, του Υπουργείου Ανάπτυξης και Επενδύσεων, η οποία καθορίζει με σχετικό έγγραφό της προς την Περιφερειακή Ενότητα, το χρόνο έναρξης συλλογής των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Βεβαίωση της αρμόδιας Περιφέρειας στην οποία αναγράφεται η επωνυμία, το ΑΦΜ της επιχείρησης, η ζημία που υπέστη αναλυτικά ανά κατηγορία και συνολικά, καθώς και αναφορά περί εγκατάστασης και άσκησης νόμιμης δραστηριότητας της επιχείρησης εντός της ζώνης οριοθέτησης, δηλ. Δήμο και Δημοτικό Διαμέρισμα,</w:t>
      </w:r>
    </w:p>
    <w:p>
      <w:pPr>
        <w:pStyle w:val="StructureList1"/>
        <w:spacing w:before="120" w:after="0"/>
        <w:rPr>
          <w:lang w:val="el" w:eastAsia="el"/>
        </w:rPr>
      </w:pPr>
      <w:r>
        <w:rPr>
          <w:lang w:val="el" w:eastAsia="el"/>
        </w:rPr>
        <w:t>β)</w:t>
      </w:r>
      <w:r>
        <w:rPr>
          <w:lang w:val="en" w:eastAsia="en"/>
        </w:rPr>
        <w:tab/>
      </w:r>
      <w:r>
        <w:rPr>
          <w:lang w:val="el" w:eastAsia="el"/>
        </w:rPr>
        <w:t>πρακτικό εκτίμησης ζημιών, υπογεγραμμένο από την αρμόδια Επιτροπή καταγραφής και εκτίμησης ζημιών,</w:t>
      </w:r>
    </w:p>
    <w:p>
      <w:pPr>
        <w:pStyle w:val="StructureList1"/>
        <w:spacing w:before="120" w:after="0"/>
        <w:rPr>
          <w:lang w:val="el" w:eastAsia="el"/>
        </w:rPr>
      </w:pPr>
      <w:r>
        <w:rPr>
          <w:lang w:val="el" w:eastAsia="el"/>
        </w:rPr>
        <w:t>γ)</w:t>
      </w:r>
      <w:r>
        <w:rPr>
          <w:lang w:val="en" w:eastAsia="en"/>
        </w:rPr>
        <w:tab/>
      </w:r>
      <w:r>
        <w:rPr>
          <w:lang w:val="el" w:eastAsia="el"/>
        </w:rPr>
        <w:t>Βεβαίωση της Διεύθυνσης Αποκατάστασης Επιπτώσεων Φυσικών Καταστροφών της Γενικής Γραμματείας Υποδομών του Υπουργείου Υποδομών και Μεταφορών, με την οποία βεβαιώνεται ότι δεν έχει εγκριθεί δωρεάν κρατική αρωγή για τις ίδιες ζημιές κτισμάτων με βάση το άρθρο 10 του ν. 2576/1998, όπως τροποποιήθηκε με το άρθρο 84 του ν. 4313/2014 και ισχύει, ούτε εκκρεμεί σε αυτήν σχετική αίτηση,</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δικαιούχος δεν αποζημιώνεται από άλλον φορέα για τις ζημιές της παρ. 2 του παρόντος άρθρου. Ζημιές οι οποίες καλύπτονται από ασφαλιστήριο συμβόλαιο, αποζημιώνονται μόνο κατά το μέρος που υπερβαίνουν το ποσό που εισπράχθηκε από την ασφαλιστική εταιρεία, το άθροισμα των οποίων (ασφαλιστηρίου συμβολαίου και επιχορήγησης), δεν θα πρέπει να υπερβαίνει το 100% της εκτιμηθείσας ζημίας, ε) Βεβαίωση της ασφαλιστικής εταιρίας στην οποία εμφανίζεται το συνολικό ύψος αποζημίωσης που έλαβε ή πρόκειται να λάβει ο δικαιούχος ή άλλως Υπεύθυνη Δήλωση του δικαιούχου περί μη ύπαρξης ασφαλιστικού συμβολαίου με βεβαιωμένο το γνήσιο της υπογραφής,</w:t>
      </w:r>
    </w:p>
    <w:p>
      <w:pPr>
        <w:pStyle w:val="StructureList1"/>
        <w:spacing w:before="120" w:after="0"/>
        <w:rPr>
          <w:lang w:val="el" w:eastAsia="el"/>
        </w:rPr>
      </w:pPr>
      <w:r>
        <w:rPr>
          <w:lang w:val="el" w:eastAsia="el"/>
        </w:rPr>
        <w:t>στ)</w:t>
      </w:r>
      <w:r>
        <w:rPr>
          <w:lang w:val="en" w:eastAsia="en"/>
        </w:rPr>
        <w:tab/>
      </w:r>
      <w:r>
        <w:rPr>
          <w:lang w:val="el" w:eastAsia="el"/>
        </w:rPr>
        <w:t>Πιστοποιητικό πρωτοδικείου, των τελευταίων 3 μηνών, περί μη πτώχευσης,</w:t>
      </w:r>
    </w:p>
    <w:p>
      <w:pPr>
        <w:pStyle w:val="StructureList1"/>
        <w:spacing w:before="120" w:after="0"/>
        <w:rPr>
          <w:lang w:val="el" w:eastAsia="el"/>
        </w:rPr>
      </w:pPr>
      <w:r>
        <w:rPr>
          <w:lang w:val="el" w:eastAsia="el"/>
        </w:rPr>
        <w:t>ζ)</w:t>
      </w:r>
      <w:r>
        <w:rPr>
          <w:lang w:val="en" w:eastAsia="en"/>
        </w:rPr>
        <w:tab/>
      </w:r>
      <w:r>
        <w:rPr>
          <w:lang w:val="el" w:eastAsia="el"/>
        </w:rPr>
        <w:t>Γενικό Πιστοποιητικό από το Γ.Ε.ΜΗ.,</w:t>
      </w:r>
    </w:p>
    <w:p>
      <w:pPr>
        <w:pStyle w:val="StructureList1"/>
        <w:spacing w:before="120" w:after="0"/>
        <w:rPr>
          <w:lang w:val="el" w:eastAsia="el"/>
        </w:rPr>
      </w:pPr>
      <w:r>
        <w:rPr>
          <w:lang w:val="el" w:eastAsia="el"/>
        </w:rPr>
        <w:t>η)</w:t>
      </w:r>
      <w:r>
        <w:rPr>
          <w:lang w:val="en" w:eastAsia="en"/>
        </w:rPr>
        <w:tab/>
      </w:r>
      <w:r>
        <w:rPr>
          <w:lang w:val="el" w:eastAsia="el"/>
        </w:rPr>
        <w:t>Πιστοποιητικό ισχύουσας εκπροσώπησης της εταιρείας από το Γ.Ε.ΜΗ.,</w:t>
      </w:r>
    </w:p>
    <w:p>
      <w:pPr>
        <w:pStyle w:val="StructureList1"/>
        <w:spacing w:before="120" w:after="0"/>
        <w:rPr>
          <w:lang w:val="el" w:eastAsia="el"/>
        </w:rPr>
      </w:pPr>
      <w:r>
        <w:rPr>
          <w:lang w:val="el" w:eastAsia="el"/>
        </w:rPr>
        <w:t>θ)</w:t>
      </w:r>
      <w:r>
        <w:rPr>
          <w:lang w:val="en" w:eastAsia="en"/>
        </w:rPr>
        <w:tab/>
      </w:r>
      <w:r>
        <w:rPr>
          <w:lang w:val="el" w:eastAsia="el"/>
        </w:rPr>
        <w:t>λοιπά δικαιολογητικά εκταμίευσης όπως προβλέπονται στην περιπτ.θ της παρ. 3 του άρθρου 3 της υπό στοιχεία 20725/Β.979/10-05-2011 υπουργικής απόφασης, όπως ισχύει, και εξειδικεύονται από την Διεύθυνση Βιομηχανικής Πολιτικής, της Γενικής Γραμματείας Βιομηχανίας, του Υπουργείου Ανάπτυξης και Επενδύσεων, η οποία τηρεί όλα τα ανωτέρω δικαιολογητικά για τουλάχιστον δέκα (10) οικονομικά έτη από την ημερομηνία καταβολής της επιχορήγησης.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πρωτοβάθμιες ή δευτεροβάθμιες επιτροπές. Από το ύψος της εκτιμηθείσας ζημίας αφαιρείται τυχόν ασφαλιστική αποζημίωση που έλαβε ή πρόκειται να λάβει ο δικαιούχος.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ΖΑΒΒΟΣ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Ανάπτυξης και</w:t>
      </w:r>
    </w:p>
    <w:p>
      <w:pPr>
        <w:spacing w:before="240" w:after="240"/>
        <w:rPr>
          <w:lang w:val="el" w:eastAsia="el"/>
        </w:rPr>
      </w:pPr>
      <w:r>
        <w:rPr>
          <w:lang w:val="el" w:eastAsia="el"/>
        </w:rPr>
        <w:t>Επενδύσεων</w:t>
      </w:r>
    </w:p>
    <w:p>
      <w:pPr>
        <w:spacing w:before="240" w:after="240"/>
        <w:rPr>
          <w:lang w:val="el" w:eastAsia="el"/>
        </w:rPr>
      </w:pPr>
      <w:r>
        <w:rPr>
          <w:lang w:val="el" w:eastAsia="el"/>
        </w:rPr>
        <w:t>ΣΠΥΡΙΔΩΝ - ΑΔΩΝΙΣ</w:t>
      </w:r>
    </w:p>
    <w:p>
      <w:pPr>
        <w:spacing w:before="240" w:after="240"/>
        <w:rPr>
          <w:lang w:val="el" w:eastAsia="el"/>
        </w:rPr>
      </w:pPr>
      <w:r>
        <w:rPr>
          <w:lang w:val="el" w:eastAsia="el"/>
        </w:rPr>
        <w:t>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