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Β2β/Γ.Π.οικ. 70</w:t>
      </w:r>
      <w:r>
        <w:rPr>
          <w:lang w:val="el" w:eastAsia="el"/>
        </w:rPr>
        <w:t xml:space="preserve">808 (1) </w:t>
      </w:r>
      <w:r>
        <w:rPr>
          <w:b/>
          <w:bCs/>
          <w:lang w:val="el" w:eastAsia="el"/>
        </w:rPr>
        <w:t>Καθορισμός των όρων, των προϋποθέσεων και της διαδικασίας είσπραξης των οφειλόμενων ποσών αυτόματης επιστροφής (claw back) του άρθρου 11 του ν. 4052/2012 (Α’ 41), των ΚΑΚ φαρμακευτικών προϊόντων και των φαρμακευτικών εταιρειών προς τον ΕΟΠΥΥ έτους 2019.</w:t>
      </w:r>
    </w:p>
    <w:p>
      <w:pPr>
        <w:pStyle w:val="Title"/>
        <w:spacing w:before="120" w:after="36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δωδέκατο του ν. 4737/2020, «Κύρωση της από 24.9.2020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που εδρεύει στο VADUZ του LIECHTENSTEIN, και του Ωνάσειου Καρδιοχειρουργικού Κέντρου (Ν.Π.Ι.Δ.), επείγουσες ρυθμίσεις για την αντιμετώπιση του κινδύνου διασποράς του κορωνοϊού COVID-19 και άλλες διατάξεις.» (Α’ 204).</w:t>
      </w:r>
    </w:p>
    <w:p>
      <w:pPr>
        <w:pStyle w:val="PreambelText"/>
        <w:spacing w:before="240" w:after="240"/>
        <w:rPr>
          <w:lang w:val="el" w:eastAsia="el"/>
        </w:rPr>
      </w:pPr>
      <w:r>
        <w:rPr>
          <w:lang w:val="el" w:eastAsia="el"/>
        </w:rPr>
        <w:t>2. Τις διατάξεις του άρθρου 11 του ν. 4052/2012, «Νόμος αρμοδιότητας Υπουργείων Υγείας και Κοινωνικής Αλληλεγγύης και Εργασίας. και τη διάσωση της εθνικής οικονομίας» και άλλες διατάξεις» (Α’ 41), όπως ισχύουν.</w:t>
      </w:r>
    </w:p>
    <w:p>
      <w:pPr>
        <w:pStyle w:val="PreambelText"/>
        <w:spacing w:before="240" w:after="240"/>
        <w:rPr>
          <w:lang w:val="el" w:eastAsia="el"/>
        </w:rPr>
      </w:pPr>
      <w:r>
        <w:rPr>
          <w:lang w:val="el" w:eastAsia="el"/>
        </w:rPr>
        <w:t>3. Τις διατάξεις του ν. 3918/2011, «Διαρθρωτικές αλλαγές στο σύστημα υγείας και άλλες διατάξεις» (Α’ 31), όπως ισχύουν.</w:t>
      </w:r>
    </w:p>
    <w:p>
      <w:pPr>
        <w:pStyle w:val="PreambelText"/>
        <w:spacing w:before="240" w:after="240"/>
        <w:rPr>
          <w:lang w:val="el" w:eastAsia="el"/>
        </w:rPr>
      </w:pPr>
      <w:r>
        <w:rPr>
          <w:lang w:val="el" w:eastAsia="el"/>
        </w:rPr>
        <w:t>4. Τις διατάξεις του ν. 4238/2014, «Πρωτοβάθμιο Εθνικό Δίκτυο Υγείας (ΠΕΔΥ), αλλαγή σκοπού ΕΟΠΥΥ και άλλες λοιπές διατάξεις» (Α’ 38), όπως ισχύουν.</w:t>
      </w:r>
    </w:p>
    <w:p>
      <w:pPr>
        <w:pStyle w:val="PreambelText"/>
        <w:spacing w:before="240" w:after="240"/>
        <w:rPr>
          <w:lang w:val="el" w:eastAsia="el"/>
        </w:rPr>
      </w:pPr>
      <w:r>
        <w:rPr>
          <w:lang w:val="el" w:eastAsia="el"/>
        </w:rPr>
        <w:t>5. Το άρθρο 90 του π.δ. 63/2005, «Κώδικας Νομοθεσίας για την Κυβέρνηση και τα κυβερνητικά όργανα» (Α’ 98).</w:t>
      </w:r>
    </w:p>
    <w:p>
      <w:pPr>
        <w:pStyle w:val="PreambelText"/>
        <w:spacing w:before="240" w:after="240"/>
        <w:rPr>
          <w:lang w:val="el" w:eastAsia="el"/>
        </w:rPr>
      </w:pPr>
      <w:r>
        <w:rPr>
          <w:lang w:val="el" w:eastAsia="el"/>
        </w:rPr>
        <w:t>6. Τις διατάξεις του π.δ. 121/2017, «Οργανισμός του Υπουργείου Υγείας» (Α’ 148), όπως ισχύουν.</w:t>
      </w:r>
    </w:p>
    <w:p>
      <w:pPr>
        <w:pStyle w:val="PreambelText"/>
        <w:spacing w:before="240" w:after="240"/>
        <w:rPr>
          <w:lang w:val="el" w:eastAsia="el"/>
        </w:rPr>
      </w:pPr>
      <w:r>
        <w:rPr>
          <w:lang w:val="el" w:eastAsia="el"/>
        </w:rPr>
        <w:t>7. Τις διατάξεις του π.δ. 83/2019 (Α’ 121).</w:t>
      </w:r>
    </w:p>
    <w:p>
      <w:pPr>
        <w:pStyle w:val="PreambelText"/>
        <w:spacing w:before="240" w:after="240"/>
        <w:rPr>
          <w:lang w:val="el" w:eastAsia="el"/>
        </w:rPr>
      </w:pPr>
      <w:r>
        <w:rPr>
          <w:lang w:val="el" w:eastAsia="el"/>
        </w:rPr>
        <w:t>8. Την υπ’ αρ. 713/1-10-2020 απόφαση του Διοικητικού Συμβουλίου του Ε.Ο.Π.Υ.Υ.</w:t>
      </w:r>
    </w:p>
    <w:p>
      <w:pPr>
        <w:pStyle w:val="PreambelText"/>
        <w:spacing w:before="240" w:after="240"/>
        <w:rPr>
          <w:lang w:val="el" w:eastAsia="el"/>
        </w:rPr>
      </w:pPr>
      <w:r>
        <w:rPr>
          <w:lang w:val="el" w:eastAsia="el"/>
        </w:rPr>
        <w:t>9. Την υπό στοιχεία Β2β/ΓΠ οικ. 70140/3-11-2020 εισήγηση της Γενικής Διεύθυνσης Οικονομικών Υπηρεσιών του Υπουργείου Υγείας, σύμφωνα με την παρ. 5, περ. ε του άρθρου 24 του ν. 4270/2014 (Α’ 143), όπως έχει τροποποιηθεί και ισχύει, σύμφωνα με την οποία από την παρούσα απόφαση δεν προκαλείται δαπάνη ούτε στον προϋπολογισμό του ΕΟΠΥΥ ούτε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Ένταξη στη Ρύθμιση</w:t>
      </w:r>
    </w:p>
    <w:p>
      <w:pPr>
        <w:spacing w:before="240" w:after="240"/>
        <w:rPr>
          <w:lang w:val="el" w:eastAsia="el"/>
        </w:rPr>
      </w:pPr>
      <w:r>
        <w:rPr>
          <w:lang w:val="el" w:eastAsia="el"/>
        </w:rPr>
        <w:t>Κάτοχοι Άδειας Κυκλοφορίας (Κ.Α.Κ.) φαρμακευτικών προϊόντων και φαρμακευτικές εταιρείες με οφειλόμενα προς τον ΕΟΠΥΥ ποσά αυτόματης επιστροφής του άρθρου 11 του ν. 4052/2012 (Α’ 41), για το έτος 2019, μπορούν να ενταχθούν στη ρύθμιση καταβολής τους σε δόσεις, εφόσον δεν οφείλουν ποσά επιστροφής του άρθρου 35 του ν. 3918/2011 (Α’ 31) για το έτος 2019 και καταβάλουν κανονικά τις δόσεις της προηγούμενης ρύθμισης οφειλών των ετών 2012-2018 με βάση το άρθρο 236 του ν. 4635/2019. Η υπαγωγή στη ρύθμιση γίνεται με αίτημα της εταιρείας στη Διεύθυνση Οικονομικών Υπηρεσιών του ΕΟΠΥΥ έως τις 20 Νοεμβρίου 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Καταβολή Δόσεων</w:t>
      </w:r>
    </w:p>
    <w:p>
      <w:pPr>
        <w:spacing w:before="240" w:after="240"/>
        <w:rPr>
          <w:lang w:val="el" w:eastAsia="el"/>
        </w:rPr>
      </w:pPr>
      <w:r>
        <w:rPr>
          <w:lang w:val="el" w:eastAsia="el"/>
        </w:rPr>
        <w:t>Η καταβολή των δόσεων διενεργείται μηνιαία με ηλεκτρονική καταβολή με τη χρήση μοναδικού κωδικού πληρωμής.</w:t>
      </w:r>
    </w:p>
    <w:p>
      <w:pPr>
        <w:spacing w:before="240" w:after="240"/>
        <w:rPr>
          <w:lang w:val="el" w:eastAsia="el"/>
        </w:rPr>
      </w:pPr>
      <w:r>
        <w:rPr>
          <w:lang w:val="el" w:eastAsia="el"/>
        </w:rPr>
        <w:t>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Το σύνολο της πρώτης δόσης της ρύθμισης είναι καταβλητέο έως τις 30 Νοεμβρίου 2020. Οι επόμενες δόσεις καταβάλλονται έως την τελευταία εργάσιμη ημέρα εκάστου επόμενου μηνός.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Υπολογισμός του Αριθμού Δόσεων</w:t>
      </w:r>
    </w:p>
    <w:p>
      <w:pPr>
        <w:spacing w:before="240" w:after="240"/>
        <w:rPr>
          <w:lang w:val="el" w:eastAsia="el"/>
        </w:rPr>
      </w:pPr>
      <w:r>
        <w:rPr>
          <w:lang w:val="el" w:eastAsia="el"/>
        </w:rPr>
        <w:t>Για το έτος 2019 ο αριθμός των δόσεων (D), υπολογίζεται ως εξής:</w:t>
      </w:r>
    </w:p>
    <w:p>
      <w:pPr>
        <w:spacing w:before="240" w:after="240"/>
        <w:rPr>
          <w:lang w:val="el" w:eastAsia="el"/>
        </w:rPr>
      </w:pPr>
      <w:r>
        <w:rPr>
          <w:lang w:val="el" w:eastAsia="el"/>
        </w:rPr>
        <w:t>D=min (Y.O./max(0,1*M.M.T., 10000), 36)</w:t>
      </w:r>
    </w:p>
    <w:p>
      <w:pPr>
        <w:spacing w:before="240" w:after="240"/>
        <w:rPr>
          <w:lang w:val="el" w:eastAsia="el"/>
        </w:rPr>
      </w:pPr>
      <w:r>
        <w:rPr>
          <w:lang w:val="el" w:eastAsia="el"/>
        </w:rPr>
        <w:t>Όπου στον ανωτέρω τύπο:</w:t>
      </w:r>
    </w:p>
    <w:p>
      <w:pPr>
        <w:spacing w:before="240" w:after="240"/>
        <w:rPr>
          <w:lang w:val="el" w:eastAsia="el"/>
        </w:rPr>
      </w:pPr>
      <w:r>
        <w:rPr>
          <w:lang w:val="el" w:eastAsia="el"/>
        </w:rPr>
        <w:t>(Y.O.) είναι η υπολειπόμενη οφειλή της φαρμακευτικής εταιρείας ή του Κ.Α.Κ. φαρμακευτικών προϊόντων προς τον ΕΟΠΥΥ για το έτος 2019 μετά από την ολοκλήρωση της διαδικασίας του συμψηφισμού με ισόποσες οφειλές του ΕΟΠΥΥ.</w:t>
      </w:r>
    </w:p>
    <w:p>
      <w:pPr>
        <w:spacing w:before="240" w:after="240"/>
        <w:rPr>
          <w:lang w:val="el" w:eastAsia="el"/>
        </w:rPr>
      </w:pPr>
      <w:r>
        <w:rPr>
          <w:lang w:val="el" w:eastAsia="el"/>
        </w:rPr>
        <w:t>(Μ.Μ.Τ.) είναι ο μέσος μηνιαίος τζίρος σε τιμές παραγωγού της φαρμακευτικής εταιρείας ή του Κ.Α.Κ., φαρμακευτικών προϊόντων για το έτος 2019. Στον ανωτέρω τύπο έχει ενσωματωθεί το κριτήριο ότι η δόση πρέπει να είναι ίση με το 10 % του Μ.Μ.Τ. και να μην τον ξεπερνάει, εκτός αν είναι μικρότερη των 10.000 ευρώ.</w:t>
      </w:r>
    </w:p>
    <w:p>
      <w:pPr>
        <w:spacing w:before="240" w:after="240"/>
        <w:rPr>
          <w:lang w:val="el" w:eastAsia="el"/>
        </w:rPr>
      </w:pPr>
      <w:r>
        <w:rPr>
          <w:lang w:val="el" w:eastAsia="el"/>
        </w:rPr>
        <w:t>Από την εφαρμογή της ανωτέρω εξίσωσης προκύπτει ακέραιο νούμερο χωρίς δεκαδικά ψηφία μετά από τις απαραίτητες στρογγυλοποιήσεις. Η ελάχιστη τιμή που μπορεί να λάβει το D είναι 1. Η μέγιστη τιμή που μπορεί να λάβει το D είναι το 36 που αποτελεί και τον μέγιστο αριθμό δόσεων της ρύθμισης.</w:t>
      </w:r>
    </w:p>
    <w:p>
      <w:pPr>
        <w:spacing w:before="240" w:after="240"/>
        <w:rPr>
          <w:lang w:val="el" w:eastAsia="el"/>
        </w:rPr>
      </w:pPr>
      <w:r>
        <w:rPr>
          <w:lang w:val="el" w:eastAsia="el"/>
        </w:rPr>
        <w:t>Κατά τον υπολογισμό των δόσεων, ως ελάχιστη μηνιαία δόση ορίζεται το ποσό των 10.000 ευρώ. Σε περίπτωση που από τους ανωτέρω υπολογισμούς προκύπτει ποσό δόσης κάτω από 10.000 ευρώ ο αριθμός των δόσεων μειώνεται κατά μία και γίνεται νέος υπολογισμός του ποσού της δόσης.</w:t>
      </w:r>
    </w:p>
    <w:p>
      <w:pPr>
        <w:spacing w:before="240" w:after="240"/>
        <w:rPr>
          <w:lang w:val="el" w:eastAsia="el"/>
        </w:rPr>
      </w:pPr>
      <w:r>
        <w:rPr>
          <w:lang w:val="el" w:eastAsia="el"/>
        </w:rPr>
        <w:t>Ο ανωτέρω τύπος δεν εφαρμόζεται για ποσά οφειλής έως 19.999 ευρώ τα οποία καταβάλλονται εφάπαξ στην πρώτη καταβολή από τις εταιρείες.</w:t>
      </w:r>
    </w:p>
    <w:p>
      <w:pPr>
        <w:spacing w:before="240" w:after="240"/>
        <w:rPr>
          <w:lang w:val="el" w:eastAsia="el"/>
        </w:rPr>
      </w:pPr>
      <w:r>
        <w:rPr>
          <w:lang w:val="el" w:eastAsia="el"/>
        </w:rPr>
        <w:t>Οι δόσεις που προκύπτουν από τον ανωτέρω υπολογισμό είναι ισόποσες. Ωστόσο το ποσό της τελευταίας δόσης μπορεί να αναπροσαρμοστεί κατάλληλα ώστε να προκύπτει το τελικό ποσό της υφιστάμενης οφειλής της φαρμακευτικής εταιρείας (Υ.Ο.).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Απαλλαγές από Προσαυξήσεις,</w:t>
      </w:r>
    </w:p>
    <w:p>
      <w:pPr>
        <w:spacing w:before="240" w:after="240"/>
        <w:rPr>
          <w:lang w:val="el" w:eastAsia="el"/>
        </w:rPr>
      </w:pPr>
      <w:r>
        <w:rPr>
          <w:lang w:val="el" w:eastAsia="el"/>
        </w:rPr>
        <w:t>Πρόσθετους Φόρους, Τόκους και Πρόστιμα</w:t>
      </w:r>
    </w:p>
    <w:p>
      <w:pPr>
        <w:spacing w:before="240" w:after="240"/>
        <w:rPr>
          <w:lang w:val="el" w:eastAsia="el"/>
        </w:rPr>
      </w:pPr>
      <w:r>
        <w:rPr>
          <w:lang w:val="el" w:eastAsia="el"/>
        </w:rPr>
        <w:t>Οι οφειλές που εντάσσονται στην παρούσα ρύθμιση απαλλάσσονται από προσαυξήσεις και τους τόκους εκπρόθεσμης καταβολής. Ο οφειλέτης τυγχάνει των κάτωθι ευεργετημάτων κατ’ αναλογική εφαρμογή του άρθρου 11 του ν. 4321/2015 (Α’ 32), μετά την εκούσια καταβολή της πρώτης δόσης αυτής.</w:t>
      </w:r>
    </w:p>
    <w:p>
      <w:pPr>
        <w:spacing w:before="240" w:after="240"/>
        <w:rPr>
          <w:lang w:val="el" w:eastAsia="el"/>
        </w:rPr>
      </w:pPr>
      <w:r>
        <w:rPr>
          <w:lang w:val="el" w:eastAsia="el"/>
        </w:rPr>
        <w:t>Μετά την υπαγωγή χορηγείται αποδεικτικό ενημερότητας οφειλών ΕΟΠΥΥ, σύμφωνα με τα οριζόμενα στις κείμενες διατάξεις και 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 Η καταβολή των δόσεων της ρύθμισης δύναται να πραγματοποιούνται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Απώλεια της Ρύθμισης - Ποινές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των Κατόχων Άδειας Κυκλοφορίας (Κ.Α.Κ.) φαρμακευτικών προϊόντων προς τον ΕΟΠΥΥ, δεν εφαρμόζεται η παρούσα και τα φαρμακευτικά προϊόντα των Κ.Α.Κ. ή των φαρμακευτικών εταιριών απεντάσσονται από τον Κατάλογο Αποζημιούμένων Φαρμάκων του άρθρου 12 του ν. 3816/ 2010 με απόφαση του Υπουργού Υγείας.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Νοεμβρίου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