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281</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και Οκτώβριο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9. Το ν.δ. 356/1974 Κ.Ε.Δ.Ε. (Α’ 90), όπως ισχύουν.</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w:t>
      </w:r>
    </w:p>
    <w:p>
      <w:pPr>
        <w:pStyle w:val="PreambelText"/>
        <w:spacing w:before="240" w:after="240"/>
        <w:rPr>
          <w:lang w:val="el" w:eastAsia="el"/>
        </w:rPr>
      </w:pPr>
      <w:r>
        <w:rPr>
          <w:lang w:val="el" w:eastAsia="el"/>
        </w:rPr>
        <w:t>15. Το π.δ. 147/2017 «Οργανισμός του Υπουργείου Οικονομίας και Ανάπτυξης» (Α’ 192).</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(Α’133).</w:t>
      </w:r>
    </w:p>
    <w:p>
      <w:pPr>
        <w:pStyle w:val="PreambelText"/>
        <w:spacing w:before="240" w:after="240"/>
        <w:rPr>
          <w:lang w:val="el" w:eastAsia="el"/>
        </w:rPr>
      </w:pPr>
      <w:r>
        <w:rPr>
          <w:lang w:val="el" w:eastAsia="el"/>
        </w:rPr>
        <w:t>18.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22. Την υπό στοιχεία Δ1α/Γ.Π.οικ.: 71342/6.11.2020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ισχύει.</w:t>
      </w:r>
    </w:p>
    <w:p>
      <w:pPr>
        <w:pStyle w:val="PreambelText"/>
        <w:spacing w:before="240" w:after="240"/>
        <w:rPr>
          <w:lang w:val="el" w:eastAsia="el"/>
        </w:rPr>
      </w:pPr>
      <w:r>
        <w:rPr>
          <w:lang w:val="el" w:eastAsia="el"/>
        </w:rPr>
        <w:t>23. Την από στοιχεία Δ.Α.Ε.Φ.Κ.-Κ.Ε./10330/Α325/ 07.10.2020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όπως ισχύει.</w:t>
      </w:r>
    </w:p>
    <w:p>
      <w:pPr>
        <w:pStyle w:val="PreambelText"/>
        <w:spacing w:before="240" w:after="240"/>
        <w:rPr>
          <w:lang w:val="el" w:eastAsia="el"/>
        </w:rPr>
      </w:pPr>
      <w:r>
        <w:rPr>
          <w:lang w:val="el" w:eastAsia="el"/>
        </w:rPr>
        <w:t>24. Την υπό στοιχεία Δ.Α.Ε.Φ.Κ.-Κ.Ε./10331/Α325/ 07.10.2020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19ης Σεπτεμβρίου 2020 σε περιοχές των Περιφερειακών Ενοτήτων Κεφαλληνίας, Ζακύνθου, Ιθάκης και Λευκάδας της Περιφέρειας Ιονίων Νήσων»» (Β’ 4432), όπως ισχύει.</w:t>
      </w:r>
    </w:p>
    <w:p>
      <w:pPr>
        <w:pStyle w:val="PreambelText"/>
        <w:spacing w:before="240" w:after="240"/>
        <w:rPr>
          <w:lang w:val="el" w:eastAsia="el"/>
        </w:rPr>
      </w:pPr>
      <w:r>
        <w:rPr>
          <w:lang w:val="el" w:eastAsia="el"/>
        </w:rPr>
        <w:t>25. Την από στοιχεία ΓΔΟΥ233/11.10.2020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 (Β’ 4471), όπως ισχύει.</w:t>
      </w:r>
    </w:p>
    <w:p>
      <w:pPr>
        <w:pStyle w:val="PreambelText"/>
        <w:spacing w:before="240" w:after="240"/>
        <w:rPr>
          <w:lang w:val="el" w:eastAsia="el"/>
        </w:rPr>
      </w:pPr>
      <w:r>
        <w:rPr>
          <w:lang w:val="el" w:eastAsia="el"/>
        </w:rPr>
        <w:t>26. Την υπό στοιχεία ΓΔΟΥ 148/3.7.2020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όπως ισχύει.</w:t>
      </w:r>
    </w:p>
    <w:p>
      <w:pPr>
        <w:pStyle w:val="PreambelText"/>
        <w:spacing w:before="240" w:after="240"/>
        <w:rPr>
          <w:lang w:val="el" w:eastAsia="el"/>
        </w:rPr>
      </w:pPr>
      <w:r>
        <w:rPr>
          <w:lang w:val="el" w:eastAsia="el"/>
        </w:rPr>
        <w:t>27. Την υπό στοιχεία ΓΔΟΥ 94/2.5.2020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 όπως ισχύει.</w:t>
      </w:r>
    </w:p>
    <w:p>
      <w:pPr>
        <w:pStyle w:val="PreambelText"/>
        <w:spacing w:before="240" w:after="240"/>
        <w:rPr>
          <w:lang w:val="el" w:eastAsia="el"/>
        </w:rPr>
      </w:pPr>
      <w:r>
        <w:rPr>
          <w:lang w:val="el" w:eastAsia="el"/>
        </w:rPr>
        <w:t>28.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29.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30. Την υπό στοιχεία 2/70064/ΔΠΓΚ/13-11-2020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31. Το γεγονός ότι από τις διατάξεις της παρούσας απόφασης προκαλείται πρόσθετη δαπάνη ύψους ενός δισεκατομμυρίου διακοσίων εκατομμυρίων (1.200.000.000)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Σεπτέμβριο και Οκτώβριο του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υπ’ αρ. 1407/2013 Κανονισμού (ΕΕ)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0,74%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ήτοι -0,35,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υπ’ αρ. 104/2000 κανονισμού (ΕΚ),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υπ’ αρ. 104/2000 Κανονισμό (ΕΚ)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spacing w:before="240" w:after="240"/>
        <w:rPr>
          <w:lang w:val="el" w:eastAsia="el"/>
        </w:rPr>
      </w:pPr>
      <w:r>
        <w:rPr>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 τρίτο και το τέταρτο τρίμηνο του έτους 2019, ως κύκλος εργασιών αναφοράς λαμβάνεται το άθροισμα του κύκλου εργασιών του τρίτου τριμήνου πολλαπλασιαζόμενο με ένα τρίτο (1/3) και του τέταρτου τριμήνου πολλαπλασιαζόμενο με ένα τρίτο (1/3),</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 τρίτο τρίμηνο του έτους 2019 και έχει θετικό κύκλο εργασιών το τέταρτο τρίμηνο του έτους 2019, ως κύκλος εργασιών αναφοράς λαμβάνεται το τέταρτο τρίμηνο του έτους 2019 πολλαπλασιαζόμενο με δύο τρίτα (2/3). Σε περίπτωση που η επιχείρηση δεν έχει θετικό κύκλο εργασιών το τέταρτο τρίμηνο του έτους 2019 και έχει θετικό κύκλο εργασιών αναφοράς το τρίτο τρίμηνο του έτους 2019, ως κύκλος εργασιών αναφοράς λαμβάνεται το τρίτο τρίμηνο του έτους 2019 πολλαπλασιαζόμενο με δύο τρίτα (2/3),</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τρίτο και το τέταρτο τρίμηνο του έτους 2019 και έχει θετικό κύκλο εργασιών το πρώτο τρίμηνο του έτους 2020, ως κύκλος εργασιών αναφοράς λαμβάνεται ο κύκλος εργασιών του πρώτου τριμήνου του 2020 πολλαπλασιαζόμενο με δύο τρίτα (2/3),</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 τρίτο και το τέταρτο τρίμηνο του έτους 2019, καθώς και το πρώτο τρίμηνο του έτους 2020 ως κύκλος εργασιών αναφοράς λαμβάνεται ο κύκλος εργασιών του τρίτου τριμήνου του 2020 πολλαπλασιαζόμενο με δύο τρίτα (2/3),</w:t>
      </w:r>
    </w:p>
    <w:p>
      <w:pPr>
        <w:pStyle w:val="StructureList1"/>
        <w:spacing w:before="120" w:after="0"/>
        <w:rPr>
          <w:lang w:val="el" w:eastAsia="el"/>
        </w:rPr>
      </w:pPr>
      <w:r>
        <w:rPr>
          <w:lang w:val="el" w:eastAsia="el"/>
        </w:rPr>
        <w:t>εε)</w:t>
      </w:r>
      <w:r>
        <w:rPr>
          <w:lang w:val="en" w:eastAsia="en"/>
        </w:rPr>
        <w:tab/>
      </w:r>
      <w:r>
        <w:rPr>
          <w:lang w:val="el" w:eastAsia="el"/>
        </w:rPr>
        <w:t>σε διαφορετική περίπτωση,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τον μήνα Σεπτέμβριο 2019 και τον μήνα Οκτώβριο 2019, ως κύκλος εργασιών αναφοράς λαμβάνεται το άθροισμα του κύκλου εργασιών των μηνών Σεπτεμβρίου και Οκτωβρίου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Σεπτέμβριο του 2019 και έχει θετικό κύκλο εργασιών τον μήνα Οκτώβριο του 2019, ως κύκλος εργασιών αναφοράς λαμβάνεται ο κύκλος εργασιών του μήνα Οκτωβρίου 2019, πολλαπλασιαζόμενος επί δύο (2). Σε περίπτωση που δεν έχει θετικό κύκλο εργασιών τον μήνα Οκτώβριο 2019 και έχει θετικό κύκλο εργασιών τον μήνα Σεπτέμβριο 2019, ως κύκλος εργασιών αναφοράς λαμβάνεται ο κύκλος εργασιών του μήνα Σεπτεμβρίου 2019, πολλαπλασιαζόμενος επί δύο (2),</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τον μήνα Σεπτέμβριο 2019 και τον μήνα Οκτώβριο 2019 και έχει θετικό κύκλο εργασιών τον μήνα Φεβρουάριο 2020, ως κύκλος εργασιών αναφοράς λαμβάνεται ο κύκλος εργασιών του μήνα Φεβρουαρίου 2020, πολλαπλασιαζόμενος επί δύο (2),</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τους μήνες Σεπτέμβριο 2019, Οκτώβριο 2019 και Φεβρουάριο 2020 και έχει θετικό κύκλο εργασιών τον μήνα Ιούλιο 2020 ή/και τον μήνα Αύγουστο 2020, ως κύκλος εργασιών αναφοράς λαμβάνεται το άθροισμα του κύκλου εργασιών Ιουλίου 2020 και Αυγούστου 2020. Σε περίπτωση που ο κύκλος εργασιών ενός εκ των δύο μηνών Ιουλίου 2020 ή Αυγούστου 2020 είναι αρνητικός, ως κύκλος εργασιών αναφοράς λαμβάνεται ο κύκλος εργασιών του μηνός που είναι θετικός, πολλαπλασιαζόμενος επί δύο (2),</w:t>
      </w:r>
    </w:p>
    <w:p>
      <w:pPr>
        <w:pStyle w:val="StructureList1"/>
        <w:spacing w:before="120" w:after="0"/>
        <w:rPr>
          <w:lang w:val="el" w:eastAsia="el"/>
        </w:rPr>
      </w:pPr>
      <w:r>
        <w:rPr>
          <w:lang w:val="el" w:eastAsia="el"/>
        </w:rPr>
        <w:t>εε)</w:t>
      </w:r>
      <w:r>
        <w:rPr>
          <w:lang w:val="en" w:eastAsia="en"/>
        </w:rPr>
        <w:tab/>
      </w:r>
      <w:r>
        <w:rPr>
          <w:lang w:val="el" w:eastAsia="el"/>
        </w:rPr>
        <w:t>σε διαφορετική περίπτωση,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ή του 2020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2019, διαιρεμένα με έξι (6),</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δύο (2),</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θετικά ακαθάριστα έσοδα το έτος 2019, ούτε τον μήνα Φεβρουάριο 2020 και έχει θετικά ακαθάριστα έσοδα τον μήνα Ιούλιο 2020 ή/και τον μήνα Αύγουστο 2020, όπως αυτά έχουν δηλωθεί στην ειδική πλατφόρμα «myBusinessSupport», ως ακαθάριστα έσοδα αναφοράς λαμβάνονται το άθροισμα των ακαθάριστων εσόδων Ιουλίου 2020 και Αυγούστου 2020. Σε περίπτωση που τα ακαθάριστα έσοδα ενός εκ των δύο μηνών Ιουλίου 2020 ή Αυγούστου 2020 είναι αρνητικά, ως ακαθάριστα έσοδα αναφοράς λαμβάνονται τα ακαθάριστα έσοδα του μηνός που είναι θετικά, πολλαπλασιαζόμενα επί δύο (2),</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όπως προσδιορίζονται στο άρθρο 6.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Σεπτεμβρίου 2020,</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στην ειδική πλατφόρμα «myBusinessSupport», σύμφωνα με τα άρθρα 2 και 6.</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2019 μέχρι 31η Αυγούστου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Ιουλίου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υπό στοιχεία ΓΓΔΕ ΠΟΛ. 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Σεπτεμβρίου και Οκτωβρίου 2020, όπως αυτός έχει δηλωθεί στην ειδική πλατφόρμα «myBusinessSupport», παρουσιάζει μείωση κατά 20,00% τουλάχιστον σε σχέση με τον κύκλο εργασιών αναφοράς και επιπλέον ο κύκλος εργασιών αναφοράς είναι μεγαλύτερος από τριακόσια (300) ευρώ, ββ) για τις επιχειρήσεις που δεν είναι υποκείμενες σε ΦΠΑ ή είναι υποκείμενες και απαλλασσόμενες, το άθροισμα των ακαθάριστων εσόδων μηνών Σεπτεμβρίου και Οκτωβρίου 2020, όπως αυτά έχουν δηλωθεί στην ειδική πλατφόρμα «myBusinessSupport», παρουσιάζει μείωση κατά 20,00% τουλάχιστον, σε σχέση με τα ακαθάριστα έσοδα αναφοράς και επιπλέον τα ακαθάριστα έσοδα αναφοράς είναι μεγαλύτερα από τριακόσια (300) ευρώ.</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spacing w:before="240" w:after="240"/>
        <w:rPr>
          <w:lang w:val="el" w:eastAsia="el"/>
        </w:rPr>
      </w:pPr>
      <w:r>
        <w:rPr>
          <w:lang w:val="el" w:eastAsia="el"/>
        </w:rPr>
        <w:t>Ειδικά οι επιχειρήσεις που:</w:t>
      </w:r>
    </w:p>
    <w:p>
      <w:pPr>
        <w:pStyle w:val="StructureList1"/>
        <w:spacing w:before="120" w:after="0"/>
        <w:rPr>
          <w:lang w:val="el" w:eastAsia="el"/>
        </w:rPr>
      </w:pPr>
      <w:r>
        <w:rPr>
          <w:lang w:val="el" w:eastAsia="el"/>
        </w:rPr>
        <w:t>i)</w:t>
      </w:r>
      <w:r>
        <w:rPr>
          <w:lang w:val="en" w:eastAsia="en"/>
        </w:rPr>
        <w:tab/>
      </w:r>
      <w:r>
        <w:rPr>
          <w:lang w:val="el" w:eastAsia="el"/>
        </w:rPr>
        <w:t>είτε έχουν ενεργό κύριο ΚΑΔ στις 05.11.2020 έναν από τους περιγραφόμενους στο Παράρτημα ΙΙΙ, το οποίο και αποτελεί αναπόσπαστο μέρος της παρούσας, είτε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δύναται να είναι δικαιούχοι - λήπτες της ενίσχυσης και στην περίπτωση που δεν παρουσιάζουν μείωση του κύκλου εργασιών τους κατά τα αναφερόμενα στην παρούσα περίπτωση, εφόσον ο κύκλος εργασιών για τις επιχειρήσεις υποκείμενες σε ΦΠΑ, ή τα ακαθάριστα έσοδα αναφοράς για τις επιχειρήσεις που δεν είναι υποκείμενες σε ΦΠΑ ή είναι υποκείμενες και απαλλασσόμενες, είναι μεγαλύτερα από τριακόσια (300) ευρώ,</w:t>
      </w:r>
    </w:p>
    <w:p>
      <w:pPr>
        <w:pStyle w:val="StructureList1"/>
        <w:spacing w:before="120" w:after="0"/>
        <w:rPr>
          <w:lang w:val="el" w:eastAsia="el"/>
        </w:rPr>
      </w:pPr>
      <w:r>
        <w:rPr>
          <w:lang w:val="el" w:eastAsia="el"/>
        </w:rPr>
        <w:t>ii)</w:t>
      </w:r>
      <w:r>
        <w:rPr>
          <w:lang w:val="en" w:eastAsia="en"/>
        </w:rPr>
        <w:tab/>
      </w:r>
      <w:r>
        <w:rPr>
          <w:lang w:val="el" w:eastAsia="el"/>
        </w:rPr>
        <w:t>έχουν έδρα σε περιοχές που έχουν πληγεί από τις φυσικές καταστροφές που προκλήθηκαν από την πορεία του μεσογειακού κυκλώνα «Ιανός», όπως αυτές οριοθετούνται στις υπό στοιχεία Δ.Α.Ε.Φ.Κ.-Κ.Ε./10330/ Α325/07.10.2020 (Β’ 4431) και Δ.Α.Ε.Φ.Κ.-Κ.Ε./10331/ Α325/07.10.2020 (Β’ 4432) αποφάσεις των Υπουργών Οικονομικών, Ανάπτυξης και Επενδύσεων, Εσωτερικών και Υποδομών και Μεταφορών, δύναται να είναι δικαιούχοι - λήπτες της ενίσχυσης, και στην περίπτωση που δεν παρουσιάζουν μείωση του κύκλου εργασιών τους κατά τα αναφερόμενα στην παρούσα περίπτωση, δυνάμει του Κανονισμού De minimis 1407/2013 και εφόσον πληρούνται οι προϋποθέσεις που τίθενται σε αυτόν, εφόσον ο κύκλος εργασιών για τις επιχειρήσεις υποκείμενες σε ΦΠΑ, ή τα ακαθάριστα έσοδα αναφοράς για τις επιχειρήσεις που δεν είναι υποκείμενες σε ΦΠΑ ή είναι υποκείμενες και απαλλασσόμενες, είναι μεγαλύτερα από τριακόσια (300) ευρώ.</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υπ’ αρ. 651/2014 Κανονισμού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υπ’ αρ. 1407/13 Κανονισμού (ΕΕ),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Σεπτεμβρίου και Οκτωβρίου 2020) x ποσοστιαία διαφορά εκροών εισροών] - [αριθμός εργαζομένων σε αναστολή x 534],</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Σεπτεμβρίου και Οκτωβρίου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και την 1η Οκτωβρίου 2020, σύμφωνα με τις δηλώσεις εργοδοτών, όπως τηρούνται στο πληροφοριακό σύστημα ΕΡΓΑΝΗ.</w:t>
      </w:r>
    </w:p>
    <w:p>
      <w:pPr>
        <w:spacing w:before="240" w:after="240"/>
        <w:rPr>
          <w:lang w:val="el" w:eastAsia="el"/>
        </w:rPr>
      </w:pPr>
      <w:r>
        <w:rPr>
          <w:lang w:val="el" w:eastAsia="el"/>
        </w:rPr>
        <w:t>Με την επιφύλαξη των προϋποθέσεων του άρθρου 5 της παρούσας, ειδικά για τις ατομικές επιχειρήσεις που: i) δεν απασχολούσαν κανένα εργαζόμενο κατά την 1η Σεπτεμβρίου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lang w:val="el" w:eastAsia="el"/>
        </w:rPr>
        <w:t>ii)</w:t>
      </w:r>
      <w:r>
        <w:rPr>
          <w:lang w:val="en" w:eastAsia="en"/>
        </w:rPr>
        <w:tab/>
      </w:r>
      <w:r>
        <w:rPr>
          <w:lang w:val="el" w:eastAsia="el"/>
        </w:rPr>
        <w:t>δεν απασχολούσαν κανένα εργαζόμενο κατά την 1η Σεπτεμβρίου 2020 και δεν διαθέτουν ταμειακή μηχανή και οι οποίες έχουν ενεργό κύριο ΚΑΔ στις 05.11.2020 έναν από τους περιγραφόμενους στο Παράρτημα ΙΙΙ, ή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η ενίσχυση ορίζεται, ανεξαρτήτως μαθηματικού τύπου, σε δύο χιλιάδες (2.000)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Σεπτεμβρίου 2020 και Οκτωβρίου 2020) x ποσοστιαία διαφορά εσόδων εξόδων] - [αριθμός εργαζομένων σε αναστολή x 534],</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Σεπτεμβρίου και Οκτωβρίου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αναστολή ορίζεται ως το άθροισμα του αριθμού των εργαζομένων της επιχείρησης που βρίσκονταν σε προσωρινή αναστολή της σύμβασης εργασίας τους την 1η Σεπτεμβρίου 2020 και την 1η Οκτωβρίου 2020, σύμφωνα με τις δηλώσεις εργοδοτών, όπως τηρούνται στο πληροφοριακό σύστημα ΕΡΓΑΝΗ.</w:t>
      </w:r>
    </w:p>
    <w:p>
      <w:pPr>
        <w:spacing w:before="240" w:after="240"/>
        <w:rPr>
          <w:lang w:val="el" w:eastAsia="el"/>
        </w:rPr>
      </w:pPr>
      <w:r>
        <w:rPr>
          <w:lang w:val="el" w:eastAsia="el"/>
        </w:rPr>
        <w:t>Με την επιφύλαξη των προϋποθέσεων του άρθρου 5 της παρούσας, ειδικά για τις ατομικές επιχειρήσεις που:</w:t>
      </w:r>
    </w:p>
    <w:p>
      <w:pPr>
        <w:pStyle w:val="StructureList1"/>
        <w:spacing w:before="120" w:after="0"/>
        <w:rPr>
          <w:lang w:val="el" w:eastAsia="el"/>
        </w:rPr>
      </w:pPr>
      <w:r>
        <w:rPr>
          <w:lang w:val="el" w:eastAsia="el"/>
        </w:rPr>
        <w:t>i)</w:t>
      </w:r>
      <w:r>
        <w:rPr>
          <w:lang w:val="en" w:eastAsia="en"/>
        </w:rPr>
        <w:tab/>
      </w:r>
      <w:r>
        <w:rPr>
          <w:lang w:val="el" w:eastAsia="el"/>
        </w:rPr>
        <w:t>δεν απασχολούσαν κανένα εργαζόμενο κατά την 1η Σεπτεμβρίου 2020 και δεν διαθέτουν ταμειακή μηχανή, η ενίσχυση ορίζεται, ανεξαρτήτως μαθηματικού τύπου, σε χίλια (1000) ευρώ,</w:t>
      </w:r>
    </w:p>
    <w:p>
      <w:pPr>
        <w:pStyle w:val="StructureList1"/>
        <w:spacing w:before="120" w:after="0"/>
        <w:rPr>
          <w:lang w:val="el" w:eastAsia="el"/>
        </w:rPr>
      </w:pPr>
      <w:r>
        <w:rPr>
          <w:lang w:val="el" w:eastAsia="el"/>
        </w:rPr>
        <w:t>ii)</w:t>
      </w:r>
      <w:r>
        <w:rPr>
          <w:lang w:val="en" w:eastAsia="en"/>
        </w:rPr>
        <w:tab/>
      </w:r>
      <w:r>
        <w:rPr>
          <w:lang w:val="el" w:eastAsia="el"/>
        </w:rPr>
        <w:t>δεν απασχολούσαν κανένα εργαζόμενο κατά την 1η Σεπτεμβρίου 2020 και δεν διαθέτουν ταμειακή μηχανή και οι οποίες έχουν ενεργό κύριο ΚΑΔ στις 05.11.2020 έναν από τους περιγραφόμενους στο Παράρτημα ΙΙΙ, ή των οποίων τα ακαθάριστα έσοδα ενεργού κατά την 05.11.2020 ΚΑΔ δευτερεύουσας δραστηριότητας από τους περιγραφόμενους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 η η ενίσχυση ορίζεται, ανεξαρτήτως μαθηματικού τύπου, σε δύο χιλιάδες (2.000) ευρώ.</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είτε έχουν ενεργό κύριο ΚΑΔ στις 05.11.2020 έναν από τους περιγραφόμενους στο συνημμένο Παράρτημα ΙΙΙ, ο οποίος και αποτελεί αναπόσπαστο μέρος της παρούσας, ή των οποίων τα ακαθάριστα έσοδα ενεργού κατά την 05.11.2020 ΚΑΔ δευτερεύουσας δραστηριότητας από τους περιγραφόμενους στο συνημμένο του Παραρτήματος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StructureList1"/>
        <w:spacing w:before="120" w:after="0"/>
        <w:rPr>
          <w:lang w:val="el" w:eastAsia="el"/>
        </w:rPr>
      </w:pPr>
      <w:r>
        <w:rPr>
          <w:lang w:val="el" w:eastAsia="el"/>
        </w:rPr>
        <w:t>αα)</w:t>
      </w:r>
      <w:r>
        <w:rPr>
          <w:lang w:val="en" w:eastAsia="en"/>
        </w:rPr>
        <w:tab/>
      </w:r>
      <w:r>
        <w:rPr>
          <w:lang w:val="el" w:eastAsia="el"/>
        </w:rPr>
        <w:t>δύο χιλιάδες (2.000) ευρώ για επιχειρήσεις δικαιούχους που δεν απασχολούν εργαζόμενους με σχέση εξαρτημένης εργασίας την 1η Σεπτεμβρίου 2020,</w:t>
      </w:r>
    </w:p>
    <w:p>
      <w:pPr>
        <w:pStyle w:val="StructureList1"/>
        <w:spacing w:before="120" w:after="0"/>
        <w:rPr>
          <w:lang w:val="el" w:eastAsia="el"/>
        </w:rPr>
      </w:pPr>
      <w:r>
        <w:rPr>
          <w:lang w:val="el" w:eastAsia="el"/>
        </w:rPr>
        <w:t>ββ)</w:t>
      </w:r>
      <w:r>
        <w:rPr>
          <w:lang w:val="en" w:eastAsia="en"/>
        </w:rPr>
        <w:tab/>
      </w:r>
      <w:r>
        <w:rPr>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Σεπτεμβρίου 2020,</w:t>
      </w:r>
    </w:p>
    <w:p>
      <w:pPr>
        <w:pStyle w:val="StructureList1"/>
        <w:spacing w:before="120" w:after="0"/>
        <w:rPr>
          <w:lang w:val="el" w:eastAsia="el"/>
        </w:rPr>
      </w:pPr>
      <w:r>
        <w:rPr>
          <w:lang w:val="el" w:eastAsia="el"/>
        </w:rPr>
        <w:t>γγ)</w:t>
      </w:r>
      <w:r>
        <w:rPr>
          <w:lang w:val="en" w:eastAsia="en"/>
        </w:rPr>
        <w:tab/>
      </w:r>
      <w:r>
        <w:rPr>
          <w:lang w:val="el" w:eastAsia="el"/>
        </w:rPr>
        <w:t>οχτώ χιλιάδες (8.000) ευρώ για επιχειρήσεις δικαιούχους που απασχολούν έξι (6) έως είκοσι (20) εργαζόμενους με σχέση εξαρτημένης εργασίας την 1η Σεπτεμβρίου 2020,</w:t>
      </w:r>
    </w:p>
    <w:p>
      <w:pPr>
        <w:pStyle w:val="StructureList1"/>
        <w:spacing w:before="120" w:after="0"/>
        <w:rPr>
          <w:lang w:val="el" w:eastAsia="el"/>
        </w:rPr>
      </w:pPr>
      <w:r>
        <w:rPr>
          <w:lang w:val="el" w:eastAsia="el"/>
        </w:rPr>
        <w:t>δδ)</w:t>
      </w:r>
      <w:r>
        <w:rPr>
          <w:lang w:val="en" w:eastAsia="en"/>
        </w:rPr>
        <w:tab/>
      </w:r>
      <w:r>
        <w:rPr>
          <w:lang w:val="el" w:eastAsia="el"/>
        </w:rPr>
        <w:t>δεκαπέντε (15.000) ευρώ για επιχειρήσεις δικαιούχους που απασχολούν είκοσι ένα (21) έως πενήντα (50) εργαζόμενους με σχέση εξαρτημένης εργασίας την 1η Σεπτεμβρίου 2020,</w:t>
      </w:r>
    </w:p>
    <w:p>
      <w:pPr>
        <w:pStyle w:val="StructureList1"/>
        <w:spacing w:before="120" w:after="0"/>
        <w:rPr>
          <w:lang w:val="el" w:eastAsia="el"/>
        </w:rPr>
      </w:pPr>
      <w:r>
        <w:rPr>
          <w:lang w:val="el" w:eastAsia="el"/>
        </w:rPr>
        <w:t>εε)</w:t>
      </w:r>
      <w:r>
        <w:rPr>
          <w:lang w:val="en" w:eastAsia="en"/>
        </w:rPr>
        <w:tab/>
      </w:r>
      <w:r>
        <w:rPr>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Σεπτεμβρίου 2020.</w:t>
      </w:r>
    </w:p>
    <w:p>
      <w:pPr>
        <w:pStyle w:val="StructureList1"/>
        <w:spacing w:before="120" w:after="0"/>
        <w:rPr>
          <w:lang w:val="el" w:eastAsia="el"/>
        </w:rPr>
      </w:pPr>
      <w:r>
        <w:rPr>
          <w:lang w:val="el" w:eastAsia="el"/>
        </w:rPr>
        <w:t>β)</w:t>
      </w:r>
      <w:r>
        <w:rPr>
          <w:lang w:val="en" w:eastAsia="en"/>
        </w:rPr>
        <w:tab/>
      </w:r>
      <w:r>
        <w:rPr>
          <w:lang w:val="el" w:eastAsia="el"/>
        </w:rPr>
        <w:t>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Σεπτεμβρίου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05.11.2020.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αρμόδιας υπηρεσίας του άρθρου 12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30η Νοεμβρίου 2020.</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7.</w:t>
      </w:r>
      <w:r>
        <w:rPr>
          <w:lang w:val="el" w:eastAsia="el"/>
        </w:rPr>
        <w:t xml:space="preserve"> Απαραίτητη προϋπόθεση για την υποβολή της αίτησης για τη χορήγηση επιστρεπτέας προκαταβολής είναι η επιχείρηση να έχει υποβάλλει προηγουμένως στην πλατφόρμα «myBusinessSupport» τα κατωτέρω στοιχεία:</w:t>
      </w:r>
    </w:p>
    <w:p>
      <w:pPr>
        <w:spacing w:before="240" w:after="240"/>
        <w:rPr>
          <w:lang w:val="el" w:eastAsia="el"/>
        </w:rPr>
      </w:pPr>
      <w:r>
        <w:rPr>
          <w:lang w:val="el" w:eastAsia="el"/>
        </w:rPr>
        <w:t>Α. Για τους μήνες Ιανουάριο έως και Οκτώβριο 2020, α) 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 αα) τα ακαθάριστα έσοδα διακριτά για κάθε μήνα, ββ) το σύνολο των ακαθαρίστων εσόδων (κωδ. 047 του εντύπου Ε3) του φορολογικού έτους 2019,</w:t>
      </w:r>
    </w:p>
    <w:p>
      <w:pPr>
        <w:pStyle w:val="StructureList1"/>
        <w:spacing w:before="120" w:after="0"/>
        <w:rPr>
          <w:lang w:val="el" w:eastAsia="el"/>
        </w:rPr>
      </w:pPr>
      <w:r>
        <w:rPr>
          <w:lang w:val="el" w:eastAsia="el"/>
        </w:rPr>
        <w:t>γγ)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την οριστικοποίησή τους.</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8.</w:t>
      </w:r>
      <w:r>
        <w:rPr>
          <w:lang w:val="el" w:eastAsia="el"/>
        </w:rPr>
        <w:t xml:space="preserve"> Για τους μήνες Νοέμβριο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από την τρίτη (3η) μέχρι τη δέκατη (10η) ημέρα του επόμενου μήνα.</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του άρθρου 12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συγκεντρωτική κατάσταση της περ. β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Υπηρεσιών του Υπουργείου Οικονομικών.</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γ)</w:t>
      </w:r>
      <w:r>
        <w:rPr>
          <w:lang w:val="en" w:eastAsia="en"/>
        </w:rPr>
        <w:tab/>
      </w:r>
      <w:r>
        <w:rPr>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και προϋποθέσεις επιστροφής της ενίσχυσης</w:t>
      </w:r>
    </w:p>
    <w:p>
      <w:pPr>
        <w:pStyle w:val="MainText"/>
        <w:spacing w:before="120" w:after="0"/>
        <w:rPr>
          <w:lang w:val="el" w:eastAsia="el"/>
        </w:rPr>
      </w:pPr>
      <w:r>
        <w:rPr>
          <w:b/>
          <w:bCs/>
          <w:lang w:val="el" w:eastAsia="el"/>
        </w:rPr>
        <w:t>1.</w:t>
      </w:r>
      <w:r>
        <w:rPr>
          <w:lang w:val="el" w:eastAsia="el"/>
        </w:rPr>
        <w:t xml:space="preserve"> Το ήμισυ (50%) του ποσού της ενίσχυσης δεν επιστρέφεται υπό τον όρο διατήρησης του επιπέδου απασχόλησης έως την 31η Μαρτίου 2021, σύμφωνα με τα προβλεπόμενα στην παρ. 8 του παρόντος άρθρου.</w:t>
      </w:r>
    </w:p>
    <w:p>
      <w:pPr>
        <w:pStyle w:val="MainText"/>
        <w:spacing w:before="120" w:after="0"/>
        <w:rPr>
          <w:lang w:val="el" w:eastAsia="el"/>
        </w:rPr>
      </w:pPr>
      <w:r>
        <w:rPr>
          <w:b/>
          <w:bCs/>
          <w:lang w:val="el" w:eastAsia="el"/>
        </w:rPr>
        <w:t>2.</w:t>
      </w:r>
      <w:r>
        <w:rPr>
          <w:lang w:val="el" w:eastAsia="el"/>
        </w:rPr>
        <w:t xml:space="preserve"> Το ποσό της ενίσχυσης που επιστρέφεται επιβαρύνεται με επιτόκιο αναφοράς, όπως αυτό ορίζεται στην παρ. 4 του άρθρου 2 της παρούσας.</w:t>
      </w:r>
    </w:p>
    <w:p>
      <w:pPr>
        <w:pStyle w:val="MainText"/>
        <w:spacing w:before="120" w:after="0"/>
        <w:rPr>
          <w:lang w:val="el" w:eastAsia="el"/>
        </w:rPr>
      </w:pPr>
      <w:r>
        <w:rPr>
          <w:b/>
          <w:bCs/>
          <w:lang w:val="el" w:eastAsia="el"/>
        </w:rPr>
        <w:t>3.</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4.</w:t>
      </w:r>
      <w:r>
        <w:rPr>
          <w:lang w:val="el" w:eastAsia="el"/>
        </w:rPr>
        <w:t xml:space="preserve"> Μετά την παρέλευση της περιόδου χάριτος, το ποσό της ληφθείσας ενίσχυσης που επιστρέφεται, αποπληρώνεται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5.</w:t>
      </w:r>
      <w:r>
        <w:rPr>
          <w:lang w:val="el" w:eastAsia="el"/>
        </w:rPr>
        <w:t xml:space="preserve"> Το ποσό της ενίσχυσης που επιστρέφεται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«myTAXISNet/ο λογαριασμός μου/Προσωποποιημένη πληροφόρηση/Στοιχεία Οφειλών εκτός Ρύθμισης και Πληρωμή».</w:t>
      </w:r>
    </w:p>
    <w:p>
      <w:pPr>
        <w:pStyle w:val="MainText"/>
        <w:spacing w:before="120" w:after="0"/>
        <w:rPr>
          <w:lang w:val="el" w:eastAsia="el"/>
        </w:rPr>
      </w:pPr>
      <w:r>
        <w:rPr>
          <w:b/>
          <w:bCs/>
          <w:lang w:val="el" w:eastAsia="el"/>
        </w:rPr>
        <w:t>6.</w:t>
      </w:r>
      <w:r>
        <w:rPr>
          <w:lang w:val="el" w:eastAsia="el"/>
        </w:rPr>
        <w:t xml:space="preserve"> Το ανωτέρω ποσό βεβαιώνεται ως δημόσιο έσοδο και εμφανίζεται στα έσοδα του κρατικού προϋπολογισμού,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7.</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8.</w:t>
      </w:r>
      <w:r>
        <w:rPr>
          <w:lang w:val="el" w:eastAsia="el"/>
        </w:rPr>
        <w:t xml:space="preserve"> Για την πλήρωση της προϋπόθεσης διατήρησης του επίπεδου απασχόλησης η επιχείρηση υποχρεούται να διατηρήσει από την 1η Σεπτεμβρίου 2020 έως την 31η Μαρτίου 2021 το επίπεδο απασχόλησης που είχε κατά την 1η Σεπτεμβρίου 2020, βάσει των στοιχείων του συστήματος ΕΡΓΑΝΗ. Σε περίπτωση που το επίπεδο απασχόλησης που είχε η επιχείρηση κατά την 1η Σεπτεμβρίου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Σεπτεμβρίου 2020 έως την 31 Μαρτίου 2021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Σεπτεμβρίου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Σεπτεμβρίου 2020 έως την 31η Δεκεμβρίου 2020 το επίπεδο απασχόλησης που είχε κατά την 1η Σεπτεμβρίου 2020, βάσει των στοιχείων του συστήματος ΕΡΓΑΝΗ. Σε περίπτωση που το επίπεδο απασχόλησης που είχε η επιχείρηση κατά την 1η Σεπτεμβρίου 2020 είναι υψηλότερο από αυτό που είχε κατά την 1η Μαρτίου 2020, βάσει των στοιχείων του συστήματος ΕΡΓΑΝΗ, η επιχείρηση υποχρεούται να διατηρήσει από την 1η Σεπτεμβρίου 2020 έως την 31η Δεκεμβρίου 2020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Σεπτεμβρίου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προσκομίσει μέχρι την 31η Ιανουαρίου 2021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Γενική Διεύθυνση Οικονομικών Υπηρεσιών του Υπουργείου Οικονομικών.</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11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w:t>
      </w:r>
      <w:r>
        <w:rPr>
          <w:sz w:val="30"/>
          <w:szCs w:val="30"/>
          <w:vertAlign w:val="superscript"/>
          <w:lang w:val="el" w:eastAsia="el"/>
        </w:rPr>
        <w:t xml:space="preserve">1 </w:t>
      </w:r>
      <w:r>
        <w:rPr>
          <w:lang w:val="el" w:eastAsia="el"/>
        </w:rPr>
        <w:t>(ΜΜΕ)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spacing w:before="240" w:after="240"/>
        <w:rPr>
          <w:lang w:val="el" w:eastAsia="el"/>
        </w:rPr>
      </w:pPr>
      <w:r>
        <w:rPr>
          <w:i/>
          <w:iCs/>
          <w:lang w:val="el" w:eastAsia="el"/>
        </w:rPr>
        <w:t>Όπως ορίζεται στο Παράρτημα Ι του Καν. 651/2014.</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 2018-2020: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bCs/>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Σηαειώνονταί τα εξήζ</w:t>
      </w:r>
      <w:r>
        <w:rPr>
          <w:i/>
          <w:iCs/>
          <w:u w:val="single"/>
          <w:lang w:val="el" w:eastAsia="el"/>
        </w:rPr>
        <w:t>:</w:t>
      </w:r>
    </w:p>
    <w:p>
      <w:pPr>
        <w:spacing w:before="240" w:after="240"/>
        <w:rPr>
          <w:lang w:val="el" w:eastAsia="el"/>
        </w:rPr>
      </w:pPr>
      <w:r>
        <w:rPr>
          <w:i/>
          <w:iCs/>
          <w:lang w:val="el" w:eastAsia="el"/>
        </w:rPr>
        <w:t>Η ενίσχυση Θεωρείται ότί έχεί χορηγηθεί- κατά τον χρόνο παραχώρησης στην οίκεία επιχείρηση του έννομου δικαιώματος λήψης της ενίσχυσης (ήτοί κατά την ημερομηνία έκδοσης εγκριτικής απόφασης), ανεξάρτητα από την ημερομηνία καταβολής της ενίσχυσης στην επίχείρηση.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εξαγορών, όλες οί προηγούμενες ενίσχύσείς ήσσονος σημασίας που έχουν ήδη χορηγηθεί σε οποίαδήποτε από τίς συγχωνευόμενες επίχείρήσείς δηλώνονταί επίσης στον ως άνω πίνακα καί λαμβάνονταί υπόψη γία να προσδίορίστεί κατά πόσο η νέα ενίσχυση ήσσονος σημασίας στη νέα ή στην εξαγοράζουσα επίχείρηση υπερβαίνεί το σχετίκό ανώτατο όρίο.</w:t>
      </w:r>
    </w:p>
    <w:p>
      <w:pPr>
        <w:pStyle w:val="StructureList1"/>
        <w:spacing w:before="120" w:after="0"/>
        <w:rPr>
          <w:lang w:val="el" w:eastAsia="el"/>
        </w:rPr>
      </w:pPr>
      <w:r>
        <w:rPr>
          <w:lang w:val="el" w:eastAsia="el"/>
        </w:rPr>
        <w:t>-</w:t>
      </w:r>
      <w:r>
        <w:rPr>
          <w:lang w:val="en" w:eastAsia="en"/>
        </w:rPr>
        <w:tab/>
      </w:r>
      <w:r>
        <w:rPr>
          <w:i/>
          <w:iCs/>
          <w:lang w:val="el" w:eastAsia="el"/>
        </w:rPr>
        <w:t>Αν μία επίχείρηση έχεί δίασπαστεί σε δύο ή περίσσότερες χωρίστές επίχείρήσείς, η ενίσχυση ήσσονος σημασίας που χορηγήθηκε πρίν από τη δίάσπαση καταλογίζεταί στην επίχείρηση που έλαβε αυτή την ενίσχυση, η οποία είναί κατά κανόνα η επίχείρηση που ανέλαβε τίς δραστηρίότητες γία τίς οποίες χρησίμοποίήθηκε η ενίσχυση ήσσονος σημασίας. Εάν ο εν λόγω καταλογίσμός δεν είναί δυνατός, οί ενίσχύσείς ήσσονος σημασίας πρέπεί να κατανέμονταί αναλογίκά με βάση τη λογίστίκή αξία των ίδίων κεφαλαίων των νέων επίχείρήσεων κατά την πραγματίκή ημερομηνία της δίάσπασης.</w:t>
      </w:r>
    </w:p>
    <w:p>
      <w:pPr>
        <w:spacing w:before="240" w:after="240"/>
        <w:rPr>
          <w:lang w:val="el" w:eastAsia="el"/>
        </w:rPr>
      </w:pPr>
      <w:r>
        <w:rPr>
          <w:i/>
          <w:iCs/>
          <w:lang w:val="el" w:eastAsia="el"/>
        </w:rPr>
        <w:t>γ.</w:t>
      </w:r>
      <w:r>
        <w:rPr>
          <w:lang w:val="el" w:eastAsia="el"/>
        </w:rPr>
        <w:t xml:space="preserve">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w:t>
      </w:r>
      <w:r>
        <w:rPr>
          <w:i/>
          <w:iCs/>
          <w:lang w:val="el" w:eastAsia="el"/>
        </w:rPr>
        <w:t>από</w:t>
      </w:r>
      <w:r>
        <w:rPr>
          <w:lang w:val="el" w:eastAsia="el"/>
        </w:rPr>
        <w:t xml:space="preserve">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10 της παρούσας να προσκομίσει τα κάτωθι δικαιολογητικά ως την 31η Ιανουαρίου 2020:</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ΠΑΡΑΡΤΗΜΑ III</w:t>
            </w:r>
          </w:p>
          <w:p>
            <w:pPr>
              <w:spacing w:before="240"/>
              <w:rPr>
                <w:b w:val="0"/>
                <w:bCs w:val="0"/>
                <w:i w:val="0"/>
                <w:iCs w:val="0"/>
                <w:smallCaps w:val="0"/>
                <w:color w:val="000000"/>
                <w:lang w:val="el" w:eastAsia="el"/>
              </w:rPr>
            </w:pPr>
            <w:r>
              <w:rPr>
                <w:b/>
                <w:bCs/>
                <w:i w:val="0"/>
                <w:iCs w:val="0"/>
                <w:smallCaps w:val="0"/>
                <w:color w:val="000000"/>
                <w:lang w:val="el" w:eastAsia="el"/>
              </w:rPr>
              <w:t>ΠΙΝΑΚΑΣ ΚΩΔΙΚΩΝ ΑΡΙΘΜΩΝ ΔΡΑΣΤΗΡΙΟΤΗΤΑΣ</w:t>
            </w:r>
          </w:p>
        </w:tc>
      </w:tr>
    </w:tbl>
    <w:p>
      <w:pPr>
        <w:spacing w:before="240" w:after="240"/>
        <w:rPr>
          <w:lang w:val="el" w:eastAsia="el"/>
        </w:rPr>
      </w:pPr>
      <w:r>
        <w:rPr>
          <w:lang w:val="el" w:eastAsia="el"/>
        </w:rPr>
        <w:t xml:space="preserve">Σε περίπτωση τετραψήφίου ΚΑΔ συμπεριλαμβάνονται όλες </w:t>
      </w:r>
      <w:r>
        <w:rPr>
          <w:lang w:val="el" w:eastAsia="el"/>
        </w:rPr>
        <w:t>ol</w:t>
      </w:r>
      <w:r>
        <w:rPr>
          <w:lang w:val="el" w:eastAsia="el"/>
        </w:rPr>
        <w:t xml:space="preserve"> υποκατηγορίες πενταψήφιων, εξαψήφίων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παιχνιδιών </w:t>
            </w:r>
            <w:r>
              <w:rPr>
                <w:b w:val="0"/>
                <w:bCs w:val="0"/>
                <w:i/>
                <w:iCs/>
                <w:smallCaps w:val="0"/>
                <w:color w:val="000000"/>
                <w:lang w:val="el" w:eastAsia="el"/>
              </w:rPr>
              <w:t>κάθε</w:t>
            </w:r>
            <w:r>
              <w:rPr>
                <w:b w:val="0"/>
                <w:bCs w:val="0"/>
                <w:i w:val="0"/>
                <w:iCs w:val="0"/>
                <w:smallCaps w:val="0"/>
                <w:color w:val="000000"/>
                <w:lang w:val="el" w:eastAsia="el"/>
              </w:rPr>
              <w:t xml:space="preserve">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w:t>
            </w:r>
            <w:r>
              <w:rPr>
                <w:b w:val="0"/>
                <w:bCs w:val="0"/>
                <w:i/>
                <w:iCs/>
                <w:smallCaps w:val="0"/>
                <w:color w:val="000000"/>
                <w:lang w:val="el" w:eastAsia="el"/>
              </w:rPr>
              <w:t>φρέσκων</w:t>
            </w:r>
            <w:r>
              <w:rPr>
                <w:b w:val="0"/>
                <w:bCs w:val="0"/>
                <w:i w:val="0"/>
                <w:iCs w:val="0"/>
                <w:smallCaps w:val="0"/>
                <w:color w:val="000000"/>
                <w:lang w:val="el" w:eastAsia="el"/>
              </w:rPr>
              <w:t xml:space="preserve"> φυτών που χρησιμοποιούνται κυρίως στην αρωματοποιία,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καινούργιων</w:t>
            </w:r>
            <w:r>
              <w:rPr>
                <w:b w:val="0"/>
                <w:bCs w:val="0"/>
                <w:i w:val="0"/>
                <w:iCs w:val="0"/>
                <w:smallCaps w:val="0"/>
                <w:color w:val="000000"/>
                <w:lang w:val="el" w:eastAsia="el"/>
              </w:rPr>
              <w:t xml:space="preserve">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w:t>
            </w:r>
            <w:r>
              <w:rPr>
                <w:b w:val="0"/>
                <w:bCs w:val="0"/>
                <w:i/>
                <w:iCs/>
                <w:smallCaps w:val="0"/>
                <w:color w:val="000000"/>
                <w:lang w:val="el" w:eastAsia="el"/>
              </w:rPr>
              <w:t>π.δ.κ.α.</w:t>
            </w:r>
            <w:r>
              <w:rPr>
                <w:b w:val="0"/>
                <w:bCs w:val="0"/>
                <w:i w:val="0"/>
                <w:iCs w:val="0"/>
                <w:smallCaps w:val="0"/>
                <w:color w:val="000000"/>
                <w:lang w:val="el" w:eastAsia="el"/>
              </w:rPr>
              <w:t xml:space="preserve">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άλλων </w:t>
            </w:r>
            <w:r>
              <w:rPr>
                <w:b w:val="0"/>
                <w:bCs w:val="0"/>
                <w:i/>
                <w:iCs/>
                <w:smallCaps w:val="0"/>
                <w:color w:val="000000"/>
                <w:lang w:val="el" w:eastAsia="el"/>
              </w:rPr>
              <w:t>ειδών</w:t>
            </w:r>
            <w:r>
              <w:rPr>
                <w:b w:val="0"/>
                <w:bCs w:val="0"/>
                <w:i w:val="0"/>
                <w:iCs w:val="0"/>
                <w:smallCaps w:val="0"/>
                <w:color w:val="000000"/>
                <w:lang w:val="el" w:eastAsia="el"/>
              </w:rPr>
              <w:t xml:space="preserve"> σε υπαίθριους </w:t>
            </w:r>
            <w:r>
              <w:rPr>
                <w:b w:val="0"/>
                <w:bCs w:val="0"/>
                <w:i/>
                <w:iCs/>
                <w:smallCaps w:val="0"/>
                <w:color w:val="000000"/>
                <w:lang w:val="el" w:eastAsia="el"/>
              </w:rPr>
              <w:t>πάγκους</w:t>
            </w:r>
            <w:r>
              <w:rPr>
                <w:b w:val="0"/>
                <w:bCs w:val="0"/>
                <w:i w:val="0"/>
                <w:iCs w:val="0"/>
                <w:smallCaps w:val="0"/>
                <w:color w:val="000000"/>
                <w:lang w:val="el" w:eastAsia="el"/>
              </w:rPr>
              <w:t xml:space="preserve">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εκτός</w:t>
            </w:r>
            <w:r>
              <w:rPr>
                <w:b w:val="0"/>
                <w:bCs w:val="0"/>
                <w:i w:val="0"/>
                <w:iCs w:val="0"/>
                <w:smallCaps w:val="0"/>
                <w:color w:val="000000"/>
                <w:lang w:val="el" w:eastAsia="el"/>
              </w:rPr>
              <w:t xml:space="preserve"> καταστημάτων, υπαίθριων πάγκων ή </w:t>
            </w:r>
            <w:r>
              <w:rPr>
                <w:b w:val="0"/>
                <w:bCs w:val="0"/>
                <w:i/>
                <w:iCs/>
                <w:smallCaps w:val="0"/>
                <w:color w:val="000000"/>
                <w:lang w:val="el" w:eastAsia="el"/>
              </w:rPr>
              <w:t>αγορών,</w:t>
            </w:r>
            <w:r>
              <w:rPr>
                <w:b w:val="0"/>
                <w:bCs w:val="0"/>
                <w:i w:val="0"/>
                <w:iCs w:val="0"/>
                <w:smallCaps w:val="0"/>
                <w:color w:val="000000"/>
                <w:lang w:val="el" w:eastAsia="el"/>
              </w:rPr>
              <w:t xml:space="preserve">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w:t>
            </w:r>
            <w:r>
              <w:rPr>
                <w:b w:val="0"/>
                <w:bCs w:val="0"/>
                <w:i/>
                <w:iCs/>
                <w:smallCaps w:val="0"/>
                <w:color w:val="000000"/>
                <w:lang w:val="el" w:eastAsia="el"/>
              </w:rPr>
              <w:t>αυτόματων</w:t>
            </w:r>
            <w:r>
              <w:rPr>
                <w:b w:val="0"/>
                <w:bCs w:val="0"/>
                <w:i w:val="0"/>
                <w:iCs w:val="0"/>
                <w:smallCaps w:val="0"/>
                <w:color w:val="000000"/>
                <w:lang w:val="el" w:eastAsia="el"/>
              </w:rPr>
              <w:t xml:space="preserve">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υπηρεσιών εστιατορίων και </w:t>
            </w:r>
            <w:r>
              <w:rPr>
                <w:b w:val="0"/>
                <w:bCs w:val="0"/>
                <w:i/>
                <w:iCs/>
                <w:smallCaps w:val="0"/>
                <w:color w:val="000000"/>
                <w:lang w:val="el" w:eastAsia="el"/>
              </w:rPr>
              <w:t>κινητών</w:t>
            </w:r>
            <w:r>
              <w:rPr>
                <w:b w:val="0"/>
                <w:bCs w:val="0"/>
                <w:i w:val="0"/>
                <w:iCs w:val="0"/>
                <w:smallCaps w:val="0"/>
                <w:color w:val="000000"/>
                <w:lang w:val="el" w:eastAsia="el"/>
              </w:rPr>
              <w:t xml:space="preserve">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υπηρεσίες εστίασης, με εξαίρεση τις Υπηρεσίες γευμάτων </w:t>
            </w:r>
            <w:r>
              <w:rPr>
                <w:b w:val="0"/>
                <w:bCs w:val="0"/>
                <w:i/>
                <w:iCs/>
                <w:smallCaps w:val="0"/>
                <w:color w:val="000000"/>
                <w:lang w:val="el" w:eastAsia="el"/>
              </w:rPr>
              <w:t>που</w:t>
            </w:r>
            <w:r>
              <w:rPr>
                <w:b w:val="0"/>
                <w:bCs w:val="0"/>
                <w:i w:val="0"/>
                <w:iCs w:val="0"/>
                <w:smallCaps w:val="0"/>
                <w:color w:val="000000"/>
                <w:lang w:val="el" w:eastAsia="el"/>
              </w:rPr>
              <w:t xml:space="preserve"> παρέχονται </w:t>
            </w:r>
            <w:r>
              <w:rPr>
                <w:b w:val="0"/>
                <w:bCs w:val="0"/>
                <w:i/>
                <w:iCs/>
                <w:smallCaps w:val="0"/>
                <w:color w:val="000000"/>
                <w:lang w:val="el" w:eastAsia="el"/>
              </w:rPr>
              <w:t xml:space="preserve">από </w:t>
            </w:r>
            <w:r>
              <w:rPr>
                <w:b w:val="0"/>
                <w:bCs w:val="0"/>
                <w:i w:val="0"/>
                <w:iCs w:val="0"/>
                <w:smallCaps w:val="0"/>
                <w:color w:val="000000"/>
                <w:lang w:val="el" w:eastAsia="el"/>
              </w:rPr>
              <w:t>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τεχνικού</w:t>
            </w:r>
            <w:r>
              <w:rPr>
                <w:b w:val="0"/>
                <w:bCs w:val="0"/>
                <w:i w:val="0"/>
                <w:iCs w:val="0"/>
                <w:smallCaps w:val="0"/>
                <w:color w:val="000000"/>
                <w:lang w:val="el" w:eastAsia="el"/>
              </w:rPr>
              <w:t xml:space="preserve">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άλλων </w:t>
            </w:r>
            <w:r>
              <w:rPr>
                <w:b w:val="0"/>
                <w:bCs w:val="0"/>
                <w:i/>
                <w:iCs/>
                <w:smallCaps w:val="0"/>
                <w:color w:val="000000"/>
                <w:lang w:val="el" w:eastAsia="el"/>
              </w:rPr>
              <w:t>ειδών</w:t>
            </w:r>
            <w:r>
              <w:rPr>
                <w:b w:val="0"/>
                <w:bCs w:val="0"/>
                <w:i w:val="0"/>
                <w:iCs w:val="0"/>
                <w:smallCaps w:val="0"/>
                <w:color w:val="000000"/>
                <w:lang w:val="el" w:eastAsia="el"/>
              </w:rPr>
              <w:t xml:space="preserve">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και χρηματοδοτικής μίσθωσης </w:t>
            </w:r>
            <w:r>
              <w:rPr>
                <w:b w:val="0"/>
                <w:bCs w:val="0"/>
                <w:i/>
                <w:iCs/>
                <w:smallCaps w:val="0"/>
                <w:color w:val="000000"/>
                <w:lang w:val="el" w:eastAsia="el"/>
              </w:rPr>
              <w:t>μοτοσικλετών</w:t>
            </w:r>
            <w:r>
              <w:rPr>
                <w:b w:val="0"/>
                <w:bCs w:val="0"/>
                <w:i w:val="0"/>
                <w:iCs w:val="0"/>
                <w:smallCaps w:val="0"/>
                <w:color w:val="000000"/>
                <w:lang w:val="el" w:eastAsia="el"/>
              </w:rPr>
              <w:t xml:space="preserve">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κέντρων</w:t>
            </w:r>
            <w:r>
              <w:rPr>
                <w:b w:val="0"/>
                <w:bCs w:val="0"/>
                <w:i w:val="0"/>
                <w:iCs w:val="0"/>
                <w:smallCaps w:val="0"/>
                <w:color w:val="000000"/>
                <w:lang w:val="el" w:eastAsia="el"/>
              </w:rPr>
              <w:t xml:space="preserve">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w:t>
            </w:r>
            <w:r>
              <w:rPr>
                <w:b w:val="0"/>
                <w:bCs w:val="0"/>
                <w:i/>
                <w:iCs/>
                <w:smallCaps w:val="0"/>
                <w:color w:val="000000"/>
                <w:lang w:val="el" w:eastAsia="el"/>
              </w:rPr>
              <w:t>κατ’</w:t>
            </w:r>
            <w:r>
              <w:rPr>
                <w:b w:val="0"/>
                <w:bCs w:val="0"/>
                <w:i w:val="0"/>
                <w:iCs w:val="0"/>
                <w:smallCaps w:val="0"/>
                <w:color w:val="000000"/>
                <w:lang w:val="el" w:eastAsia="el"/>
              </w:rPr>
              <w:t xml:space="preserve">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Υποστηρικτικές δραστηριότητες για τις τέχνες </w:t>
            </w:r>
            <w:r>
              <w:rPr>
                <w:b w:val="0"/>
                <w:bCs w:val="0"/>
                <w:i/>
                <w:iCs/>
                <w:smallCaps w:val="0"/>
                <w:color w:val="000000"/>
                <w:lang w:val="el" w:eastAsia="el"/>
              </w:rPr>
              <w:t>του</w:t>
            </w:r>
            <w:r>
              <w:rPr>
                <w:b w:val="0"/>
                <w:bCs w:val="0"/>
                <w:i w:val="0"/>
                <w:iCs w:val="0"/>
                <w:smallCaps w:val="0"/>
                <w:color w:val="000000"/>
                <w:lang w:val="el" w:eastAsia="el"/>
              </w:rPr>
              <w:t xml:space="preserve">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αθλητικές δραστηριότητες , με εξαίρεση υπηρεσίες </w:t>
            </w:r>
            <w:r>
              <w:rPr>
                <w:b w:val="0"/>
                <w:bCs w:val="0"/>
                <w:i/>
                <w:iCs/>
                <w:smallCaps w:val="0"/>
                <w:color w:val="000000"/>
                <w:lang w:val="el" w:eastAsia="el"/>
              </w:rPr>
              <w:t>που</w:t>
            </w:r>
            <w:r>
              <w:rPr>
                <w:b w:val="0"/>
                <w:bCs w:val="0"/>
                <w:i w:val="0"/>
                <w:iCs w:val="0"/>
                <w:smallCaps w:val="0"/>
                <w:color w:val="000000"/>
                <w:lang w:val="el" w:eastAsia="el"/>
              </w:rPr>
              <w:t xml:space="preserve">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που</w:t>
            </w:r>
            <w:r>
              <w:rPr>
                <w:b w:val="0"/>
                <w:bCs w:val="0"/>
                <w:i w:val="0"/>
                <w:iCs w:val="0"/>
                <w:smallCaps w:val="0"/>
                <w:color w:val="000000"/>
                <w:lang w:val="el" w:eastAsia="el"/>
              </w:rPr>
              <w:t xml:space="preserve"> παρέχονται από πολιτιστικές και ψυχαγωγικές </w:t>
            </w:r>
            <w:r>
              <w:rPr>
                <w:b w:val="0"/>
                <w:bCs w:val="0"/>
                <w:i/>
                <w:iCs/>
                <w:smallCaps w:val="0"/>
                <w:color w:val="000000"/>
                <w:lang w:val="el" w:eastAsia="el"/>
              </w:rPr>
              <w:t>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κομμωτηρίων, κουρείων και </w:t>
            </w:r>
            <w:r>
              <w:rPr>
                <w:b w:val="0"/>
                <w:bCs w:val="0"/>
                <w:i/>
                <w:iCs/>
                <w:smallCaps w:val="0"/>
                <w:color w:val="000000"/>
                <w:lang w:val="el" w:eastAsia="el"/>
              </w:rPr>
              <w:t>κέντρων</w:t>
            </w:r>
            <w:r>
              <w:rPr>
                <w:b w:val="0"/>
                <w:bCs w:val="0"/>
                <w:i w:val="0"/>
                <w:iCs w:val="0"/>
                <w:smallCaps w:val="0"/>
                <w:color w:val="000000"/>
                <w:lang w:val="el" w:eastAsia="el"/>
              </w:rPr>
              <w:t xml:space="preserve">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Αλλες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λιανικού εμπορίου </w:t>
            </w:r>
            <w:r>
              <w:rPr>
                <w:b w:val="0"/>
                <w:bCs w:val="0"/>
                <w:i/>
                <w:iCs/>
                <w:smallCaps w:val="0"/>
                <w:color w:val="000000"/>
                <w:lang w:val="el" w:eastAsia="el"/>
              </w:rPr>
              <w:t>που</w:t>
            </w:r>
            <w:r>
              <w:rPr>
                <w:b w:val="0"/>
                <w:bCs w:val="0"/>
                <w:i w:val="0"/>
                <w:iCs w:val="0"/>
                <w:smallCaps w:val="0"/>
                <w:color w:val="000000"/>
                <w:lang w:val="el" w:eastAsia="el"/>
              </w:rPr>
              <w:t xml:space="preserve">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w:t>
            </w:r>
            <w:r>
              <w:rPr>
                <w:b w:val="0"/>
                <w:bCs w:val="0"/>
                <w:i/>
                <w:iCs/>
                <w:smallCaps w:val="0"/>
                <w:color w:val="000000"/>
                <w:lang w:val="el" w:eastAsia="el"/>
              </w:rPr>
              <w:t>τους</w:t>
            </w:r>
            <w:r>
              <w:rPr>
                <w:b w:val="0"/>
                <w:bCs w:val="0"/>
                <w:i w:val="0"/>
                <w:iCs w:val="0"/>
                <w:smallCaps w:val="0"/>
                <w:color w:val="000000"/>
                <w:lang w:val="el" w:eastAsia="el"/>
              </w:rPr>
              <w:t xml:space="preserve"> καταναλωτές</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λιπών και </w:t>
            </w:r>
            <w:r>
              <w:rPr>
                <w:b w:val="0"/>
                <w:bCs w:val="0"/>
                <w:i/>
                <w:iCs/>
                <w:smallCaps w:val="0"/>
                <w:color w:val="000000"/>
                <w:lang w:val="el" w:eastAsia="el"/>
              </w:rPr>
              <w:t>ελαίων</w:t>
            </w:r>
            <w:r>
              <w:rPr>
                <w:b w:val="0"/>
                <w:bCs w:val="0"/>
                <w:i w:val="0"/>
                <w:iCs w:val="0"/>
                <w:smallCaps w:val="0"/>
                <w:color w:val="000000"/>
                <w:lang w:val="el" w:eastAsia="el"/>
              </w:rPr>
              <w:t xml:space="preserve"> και </w:t>
            </w:r>
            <w:r>
              <w:rPr>
                <w:b w:val="0"/>
                <w:bCs w:val="0"/>
                <w:i/>
                <w:iCs/>
                <w:smallCaps w:val="0"/>
                <w:color w:val="000000"/>
                <w:lang w:val="el" w:eastAsia="el"/>
              </w:rPr>
              <w:t>των</w:t>
            </w:r>
            <w:r>
              <w:rPr>
                <w:b w:val="0"/>
                <w:bCs w:val="0"/>
                <w:i w:val="0"/>
                <w:iCs w:val="0"/>
                <w:smallCaps w:val="0"/>
                <w:color w:val="000000"/>
                <w:lang w:val="el" w:eastAsia="el"/>
              </w:rPr>
              <w:t xml:space="preserve">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w:t>
            </w:r>
            <w:r>
              <w:rPr>
                <w:b w:val="0"/>
                <w:bCs w:val="0"/>
                <w:i/>
                <w:iCs/>
                <w:smallCaps w:val="0"/>
                <w:color w:val="000000"/>
                <w:lang w:val="el" w:eastAsia="el"/>
              </w:rPr>
              <w:t>στην</w:t>
            </w:r>
            <w:r>
              <w:rPr>
                <w:b w:val="0"/>
                <w:bCs w:val="0"/>
                <w:i w:val="0"/>
                <w:iCs w:val="0"/>
                <w:smallCaps w:val="0"/>
                <w:color w:val="000000"/>
                <w:lang w:val="el" w:eastAsia="el"/>
              </w:rPr>
              <w:t xml:space="preserve">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μαργαριταριών από καλλιέργεια, </w:t>
            </w:r>
            <w:r>
              <w:rPr>
                <w:b w:val="0"/>
                <w:bCs w:val="0"/>
                <w:i/>
                <w:iCs/>
                <w:smallCaps w:val="0"/>
                <w:color w:val="000000"/>
                <w:lang w:val="el" w:eastAsia="el"/>
              </w:rPr>
              <w:t>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φυσικών μαργαριταριών, </w:t>
            </w:r>
            <w:r>
              <w:rPr>
                <w:b w:val="0"/>
                <w:bCs w:val="0"/>
                <w:i/>
                <w:iCs/>
                <w:smallCaps w:val="0"/>
                <w:color w:val="000000"/>
                <w:lang w:val="el" w:eastAsia="el"/>
              </w:rPr>
              <w:t>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μαργαριταριών από </w:t>
            </w:r>
            <w:r>
              <w:rPr>
                <w:b w:val="0"/>
                <w:bCs w:val="0"/>
                <w:i/>
                <w:iCs/>
                <w:smallCaps w:val="0"/>
                <w:color w:val="000000"/>
                <w:lang w:val="el" w:eastAsia="el"/>
              </w:rPr>
              <w:t>καλλιέργεια,</w:t>
            </w:r>
            <w:r>
              <w:rPr>
                <w:b w:val="0"/>
                <w:bCs w:val="0"/>
                <w:i w:val="0"/>
                <w:iCs w:val="0"/>
                <w:smallCaps w:val="0"/>
                <w:color w:val="000000"/>
                <w:lang w:val="el" w:eastAsia="el"/>
              </w:rPr>
              <w:t xml:space="preserve">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ψαριών, οστρακοειδών και μαλακίων </w:t>
            </w:r>
            <w:r>
              <w:rPr>
                <w:b w:val="0"/>
                <w:bCs w:val="0"/>
                <w:i/>
                <w:iCs/>
                <w:smallCaps w:val="0"/>
                <w:color w:val="000000"/>
                <w:lang w:val="el" w:eastAsia="el"/>
              </w:rPr>
              <w:t xml:space="preserve">εκτός </w:t>
            </w:r>
            <w:r>
              <w:rPr>
                <w:b w:val="0"/>
                <w:bCs w:val="0"/>
                <w:i w:val="0"/>
                <w:iCs w:val="0"/>
                <w:smallCaps w:val="0"/>
                <w:color w:val="000000"/>
                <w:lang w:val="el" w:eastAsia="el"/>
              </w:rPr>
              <w:t>καταστημάτων, υπαίθριων πάγκων ή αγορών</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Αναπληρωτής Υπουργός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ΑΠΟΣΤΟΛΟΣ ΒΕΣΥΡΟΠΟΥΛΟΣ 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