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131954 ΕΞ 2020</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στην Περιφερειακή Ενότητα Φθιώτιδας της Περιφέρειας Στερεάς Ελλάδας.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(Α’ 119)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 Β’4615).</w:t>
      </w:r>
    </w:p>
    <w:p>
      <w:pPr>
        <w:pStyle w:val="PreambelText"/>
        <w:spacing w:before="240" w:after="240"/>
        <w:rPr>
          <w:lang w:val="el" w:eastAsia="el"/>
        </w:rPr>
      </w:pPr>
      <w:r>
        <w:rPr>
          <w:lang w:val="el" w:eastAsia="el"/>
        </w:rPr>
        <w:t>19. Την υπό στοιχεία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Νόμου 2459/1997» (Β’ 1207), όπως τροποποιήθηκε με τις υπό στοιχεία Γ.Δ.Ο.Π. 0000811 ΕΞ2017/24-05-2017 (Β’ 1927), 107541/ΕΞ2020/25- 9-2020 (Β’ 4181) και 124695 ΕΞ2020/02-11-2020 (Β’ 4967)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των Κανονισμών (ΕΕ) υπ’ αρ. 651/2014 και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4116/13-11-2020 έγγραφο της Διεύθυνσης Ανάπτυξης Π.Ε. Φθιώτιδας της Γενικής Διεύθυνσης Ανάπτυξης της Περιφέρειας Στερεάς Ελλάδας.</w:t>
      </w:r>
    </w:p>
    <w:p>
      <w:pPr>
        <w:pStyle w:val="PreambelText"/>
        <w:spacing w:before="240" w:after="240"/>
        <w:rPr>
          <w:lang w:val="el" w:eastAsia="el"/>
        </w:rPr>
      </w:pPr>
      <w:r>
        <w:rPr>
          <w:lang w:val="el" w:eastAsia="el"/>
        </w:rPr>
        <w:t>24. Το υπό στοιχεία 130317 ΕΞ2020/13-11-2020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στην Περιφερειακή Ενότητα Φθιώτιδας της Περιφέρειας Στερεάς Ελλάδας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ύψους 48.018,00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13.586,00 ευρώ περίπου εμπίπτει στις διατάξεις του Κανονισμού (ΕΕ) υπ’ αρ. 651/2014, δαπάνη ύψους 34.432,00 ευρώ περίπου εμπίπτει στις διατάξεις του Κανονισμού (ΕΕ) υπ’ αρ.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στην Περιφερειακή Ενότητα Φθιώτιδας της Περιφέρειας Στερεάς Ελλάδας, οι οποίες έχουν οριοθετηθεί με την υπό στοιχεία Δ.Α.Ε.Φ.Κ.- Κ.Ε./10330/Α325/ 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υπ’ αρ.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κατά περίπτωση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w:t>
      </w:r>
    </w:p>
    <w:p>
      <w:pPr>
        <w:spacing w:before="240" w:after="240"/>
        <w:rPr>
          <w:lang w:val="el" w:eastAsia="el"/>
        </w:rPr>
      </w:pPr>
      <w:r>
        <w:rPr>
          <w:lang w:val="el" w:eastAsia="el"/>
        </w:rPr>
        <w:t>καθώς και το πιστωτικό ίδρυμα στο οποίο ανήκει. Η προκαταβολή καταβάλλεται στους δικαιούχους από τη Γενική Διεύθυνση Οικονομικών Υπηρεσιώντου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ΣΠΥΡΙΔΩΝ - ΑΔΩΝΙΣ</w:t>
      </w:r>
    </w:p>
    <w:p>
      <w:pPr>
        <w:spacing w:before="240" w:after="240"/>
        <w:rPr>
          <w:lang w:val="el" w:eastAsia="el"/>
        </w:rPr>
      </w:pPr>
      <w:r>
        <w:rPr>
          <w:b/>
          <w:bCs/>
          <w:lang w:val="el" w:eastAsia="el"/>
        </w:rPr>
        <w:t>ΖΑΒΒΟΣ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ΚΑΡΑΜΑΝΛΗΣ</w:t>
      </w:r>
    </w:p>
    <w:p>
      <w:pPr>
        <w:spacing w:before="240" w:after="240"/>
        <w:rPr>
          <w:lang w:val="el" w:eastAsia="el"/>
        </w:rPr>
      </w:pPr>
      <w:r>
        <w:rPr>
          <w:b/>
          <w:bCs/>
          <w:lang w:val="el" w:eastAsia="el"/>
        </w:rPr>
        <w:t>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