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■ΑΑΔΕ</w:t>
      </w:r>
    </w:p>
    <w:p>
      <w:pPr>
        <w:pStyle w:val="enacting"/>
        <w:spacing w:before="120" w:after="0"/>
        <w:rPr>
          <w:lang w:val="el" w:eastAsia="el"/>
        </w:rPr>
      </w:pPr>
      <w:r>
        <w:rPr>
          <w:lang w:val="el" w:eastAsia="el"/>
        </w:rPr>
        <w:t>Ανεξάρτητη Αρχή</w:t>
      </w:r>
    </w:p>
    <w:p>
      <w:pPr>
        <w:pStyle w:val="PreambelText"/>
        <w:spacing w:before="240" w:after="240"/>
        <w:rPr>
          <w:lang w:val="el" w:eastAsia="el"/>
        </w:rPr>
      </w:pPr>
      <w:r>
        <w:rPr>
          <w:b/>
          <w:bCs/>
          <w:lang w:val="el" w:eastAsia="el"/>
        </w:rPr>
        <w:t xml:space="preserve">§A£S9 </w:t>
      </w:r>
      <w:r>
        <w:rPr>
          <w:lang w:val="el" w:eastAsia="el"/>
        </w:rPr>
        <w:t>Δημοσίων Εσόδων</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1. 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Τηλέφωνο: 2103636059, 2103375433</w:t>
      </w:r>
    </w:p>
    <w:p>
      <w:pPr>
        <w:spacing w:before="240" w:after="240"/>
        <w:rPr>
          <w:lang w:val="el" w:eastAsia="el"/>
        </w:rPr>
      </w:pPr>
      <w:r>
        <w:rPr>
          <w:b/>
          <w:bCs/>
          <w:lang w:val="el" w:eastAsia="el"/>
        </w:rPr>
        <w:t>ΔΙΕΥΘΥΝΣΗ ΕΦΑΡΜΟΓΗΣ ΕΜΜΕΣΗΣ</w:t>
      </w:r>
    </w:p>
    <w:p>
      <w:pPr>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Τηλέφωνα: 2132122400</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ΨΥΨ046ΜΠ3Ζ-ΠΡΗ</w:t>
      </w:r>
    </w:p>
    <w:p>
      <w:pPr>
        <w:spacing w:before="240" w:after="240"/>
        <w:rPr>
          <w:lang w:val="el" w:eastAsia="el"/>
        </w:rPr>
      </w:pPr>
      <w:r>
        <w:rPr>
          <w:b/>
          <w:bCs/>
          <w:lang w:val="el" w:eastAsia="el"/>
        </w:rPr>
        <w:t>Αριθ. ΦΕΚ: Β΄5223/25.11.2020</w:t>
      </w:r>
    </w:p>
    <w:p>
      <w:pPr>
        <w:spacing w:before="240" w:after="240"/>
        <w:rPr>
          <w:lang w:val="el" w:eastAsia="el"/>
        </w:rPr>
      </w:pPr>
      <w:r>
        <w:rPr>
          <w:b/>
          <w:bCs/>
          <w:lang w:val="el" w:eastAsia="el"/>
        </w:rPr>
        <w:t>Αθήνα, 20 Νοεμβρίου 2020</w:t>
      </w:r>
    </w:p>
    <w:p>
      <w:pPr>
        <w:spacing w:before="240" w:after="240"/>
        <w:rPr>
          <w:lang w:val="el" w:eastAsia="el"/>
        </w:rPr>
      </w:pPr>
      <w:r>
        <w:rPr>
          <w:b/>
          <w:bCs/>
          <w:lang w:val="el" w:eastAsia="el"/>
        </w:rPr>
        <w:t>Α. 1255</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 ΔΙΕΥΘΥΝΣΗ ΕΠΙΧΕΙΡΗΣΙΑΚΩΝ ΔΙΑΔΙΚΑΣΙΩΝ</w:t>
      </w:r>
    </w:p>
    <w:p>
      <w:pPr>
        <w:spacing w:before="240" w:after="240"/>
        <w:rPr>
          <w:lang w:val="el" w:eastAsia="el"/>
        </w:rPr>
      </w:pPr>
      <w:r>
        <w:rPr>
          <w:b/>
          <w:bCs/>
          <w:lang w:val="el" w:eastAsia="el"/>
        </w:rPr>
        <w:t>ΤΜΗΜΑΤΑ Β΄, Δ΄</w:t>
      </w:r>
    </w:p>
    <w:p>
      <w:pPr>
        <w:spacing w:before="240" w:after="240"/>
        <w:rPr>
          <w:lang w:val="el" w:eastAsia="el"/>
        </w:rPr>
      </w:pPr>
      <w:r>
        <w:rPr>
          <w:b/>
          <w:bCs/>
          <w:lang w:val="el" w:eastAsia="el"/>
        </w:rPr>
        <w:t>ΤΗΛ: 2104802203</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«Καθορισμός των λεπτομερειών εφαρμογής του άρθρου 1 της από 11-03-2020 Πράξης Νομοθετικού Περιεχομένου (Α΄55), όπως τροποποιήθηκε και ισχύει, η οποία κυρώθηκε με το άρθρο 2 του ν.4682/2020 (Α΄76)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της από 11-3-2020 Πράξης Νομοθετικού Περιεχομένου (Π.Ν.Π.)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 Τις διατάξεις του ν. 4174/2013 «Φορολογικές διαδικασίες και άλλες διατάξεις» (Α΄ 170 - Κ.Φ.Δ.), όπως ισχύουν.</w:t>
      </w:r>
    </w:p>
    <w:p>
      <w:pPr>
        <w:spacing w:before="240" w:after="240"/>
        <w:rPr>
          <w:lang w:val="el" w:eastAsia="el"/>
        </w:rPr>
      </w:pPr>
      <w:r>
        <w:rPr>
          <w:lang w:val="el" w:eastAsia="el"/>
        </w:rPr>
        <w:t>3.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4. Το π.δ. 142/2017 «Οργανισμός Υπουργείου Οικονομικών» (Α΄ 181).</w:t>
      </w:r>
    </w:p>
    <w:p>
      <w:pPr>
        <w:spacing w:before="240" w:after="240"/>
        <w:rPr>
          <w:lang w:val="el" w:eastAsia="el"/>
        </w:rPr>
      </w:pPr>
      <w:r>
        <w:rPr>
          <w:lang w:val="el" w:eastAsia="el"/>
        </w:rPr>
        <w:t>5.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6.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όπως ισχύουν, ιδίως το άρθρο 41.</w:t>
      </w:r>
    </w:p>
    <w:p>
      <w:pPr>
        <w:spacing w:before="240" w:after="240"/>
        <w:rPr>
          <w:lang w:val="el" w:eastAsia="el"/>
        </w:rPr>
      </w:pPr>
      <w:r>
        <w:rPr>
          <w:lang w:val="el" w:eastAsia="el"/>
        </w:rPr>
        <w:t>11. Τις διατάξεις της υποπαραγράφου Ε2 της παραγράφου Ε του πρώτου άρθρου του ν. 4093/2012 (Α΄222),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12.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13. Την υπό στοιχεία Δ1α/Γ.Π.οικ.18159/14-3-2020 κοινή απόφαση των Υπουργών Ανάπτυξης και Επενδύσεων, Προστασίας του πολίτη, Εργασίας και Κοινωνικών Υποθέσεων, Υγείας και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 (Β΄ 859).</w:t>
      </w:r>
    </w:p>
    <w:p>
      <w:pPr>
        <w:spacing w:before="240" w:after="240"/>
        <w:rPr>
          <w:lang w:val="el" w:eastAsia="el"/>
        </w:rPr>
      </w:pPr>
      <w:r>
        <w:rPr>
          <w:lang w:val="el" w:eastAsia="el"/>
        </w:rPr>
        <w:t>14. Την υπ’ αρ. 18152/14-3-2020 κοινή απόφαση των Υπουργών Ανάπτυξης και Επενδύσεων, Προστασίας του Πολίτη, Εργασίας και Κοινωνικών Υποθέσεων, Υγείας και Εσωτερικών «Επιβολή του μέτρου της προσωρινής απαγόρευσης λειτουργίας εποχικών τουριστικών καταλυμάτων από 15-3-2020 έως και 30-4-2020» (Β΄ 857).</w:t>
      </w:r>
    </w:p>
    <w:p>
      <w:pPr>
        <w:spacing w:before="240" w:after="240"/>
        <w:rPr>
          <w:lang w:val="el" w:eastAsia="el"/>
        </w:rPr>
      </w:pPr>
      <w:r>
        <w:rPr>
          <w:lang w:val="el" w:eastAsia="el"/>
        </w:rPr>
        <w:t>15. Την υπό στοιχεία Δ1α/Γ.Π.οικ. 18149/13-3-2020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 (Β’ 855).</w:t>
      </w:r>
    </w:p>
    <w:p>
      <w:pPr>
        <w:spacing w:before="240" w:after="240"/>
        <w:rPr>
          <w:lang w:val="el" w:eastAsia="el"/>
        </w:rPr>
      </w:pPr>
      <w:r>
        <w:rPr>
          <w:lang w:val="el" w:eastAsia="el"/>
        </w:rPr>
        <w:t>16. Την υπό στοιχεία Δ1α/Γ.Π.οικ.16838/10-3-2020 κοινή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 (Β’ 783).</w:t>
      </w:r>
    </w:p>
    <w:p>
      <w:pPr>
        <w:spacing w:before="240" w:after="240"/>
        <w:rPr>
          <w:lang w:val="el" w:eastAsia="el"/>
        </w:rPr>
      </w:pPr>
      <w:r>
        <w:rPr>
          <w:lang w:val="el" w:eastAsia="el"/>
        </w:rPr>
        <w:t>17. Την υπό στοιχεία Δ1α/Γ.Π.οικ. 16837/10-3-2020 κοινή απόφαση των Υπουργών Προστασίας του Πολίτη, Υγείας, Πολιτισμού και Αθλητισμού και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 (Β’ 782) .</w:t>
      </w:r>
    </w:p>
    <w:p>
      <w:pPr>
        <w:spacing w:before="240" w:after="240"/>
        <w:rPr>
          <w:lang w:val="el" w:eastAsia="el"/>
        </w:rPr>
      </w:pPr>
      <w:r>
        <w:rPr>
          <w:lang w:val="el" w:eastAsia="el"/>
        </w:rPr>
        <w:t>18. Την υπό στοιχεία Δ1α/Γ.Π.οικ. 17733/12-3-2020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 (Β’ 833).</w:t>
      </w:r>
    </w:p>
    <w:p>
      <w:pPr>
        <w:spacing w:before="240" w:after="240"/>
        <w:rPr>
          <w:lang w:val="el" w:eastAsia="el"/>
        </w:rPr>
      </w:pPr>
      <w:r>
        <w:rPr>
          <w:lang w:val="el" w:eastAsia="el"/>
        </w:rPr>
        <w:t>19. Την υπό στοιχεία Δ1α/Γ.Π.οικ.19024/17-3-2020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 (Β΄ 915) .</w:t>
      </w:r>
    </w:p>
    <w:p>
      <w:pPr>
        <w:spacing w:before="240" w:after="240"/>
        <w:rPr>
          <w:lang w:val="el" w:eastAsia="el"/>
        </w:rPr>
      </w:pPr>
      <w:r>
        <w:rPr>
          <w:lang w:val="el" w:eastAsia="el"/>
        </w:rPr>
        <w:t>20. Την υπό στοιχεία Δ1α/Γ.Π.οικ.71342/06-11-2020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7 Νοεμβρίου 2020 έως και τη Δευτέρα 30 Νοεμβρίου 2020» (Β΄ 4899), όπως ισχύει.</w:t>
      </w:r>
    </w:p>
    <w:p>
      <w:pPr>
        <w:spacing w:before="240" w:after="240"/>
        <w:rPr>
          <w:lang w:val="el" w:eastAsia="el"/>
        </w:rPr>
      </w:pPr>
      <w:r>
        <w:rPr>
          <w:lang w:val="el" w:eastAsia="el"/>
        </w:rPr>
        <w:t>21. Την ανάγκη καθορισμού ειδικότερων θεμάτων και λεπτομερειών για την εφαρμογή των διατάξεων του άρθρου 1 της από 11-3-2020 Πράξης Νομοθετικού Περιεχομένου (Π.Ν.Π.)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22. Την εισήγηση του Διοικητή της Ανεξάρτητης Αρχής Δημοσίων Εσόδων (Α.Α.Δ.Ε.).</w:t>
      </w:r>
    </w:p>
    <w:p>
      <w:pPr>
        <w:spacing w:before="240" w:after="240"/>
        <w:rPr>
          <w:lang w:val="el" w:eastAsia="el"/>
        </w:rPr>
      </w:pPr>
      <w:r>
        <w:rPr>
          <w:lang w:val="el" w:eastAsia="el"/>
        </w:rPr>
        <w:t>23.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Παρατείνονται μέχρι και την 30-04-2021 οι προθεσμίες καταβολής των βεβαιωμένων στις Δ.Ο.Υ./Ελεγκτικά Κέντρα οφειλών από δηλώσεις ΦΠΑ με ποσό φόρου προς καταβολή (χρεωστικές) που λήγουν ή έληξαν από 01-11-2020 μέχρι και 30-11-2020 για τις επιχειρήσεις που σωρευτικά:</w:t>
      </w:r>
    </w:p>
    <w:p>
      <w:pPr>
        <w:pStyle w:val="StructureList1"/>
        <w:spacing w:before="120" w:after="0"/>
        <w:rPr>
          <w:lang w:val="el" w:eastAsia="el"/>
        </w:rPr>
      </w:pPr>
      <w:r>
        <w:rPr>
          <w:lang w:val="el" w:eastAsia="el"/>
        </w:rPr>
        <w:t>α)</w:t>
      </w:r>
      <w:r>
        <w:rPr>
          <w:lang w:val="en" w:eastAsia="en"/>
        </w:rPr>
        <w:tab/>
      </w:r>
      <w:r>
        <w:rPr>
          <w:lang w:val="el" w:eastAsia="el"/>
        </w:rPr>
        <w:t>έχουν ενεργό, κύριο κωδικό δραστηριότητας στις 20-03-2020 από τους αναγραφόμενους στο συνημμένο πίνακα, ο οποίος και αποτελεί αναπόσπαστο μέρος της παρούσας, ή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τα οποία είναι μεγαλύτερα από τα ακαθάριστα έσοδα που αντιστοιχούν στον κύριο ΚΑΔ στις 20-03-2020 και</w:t>
      </w:r>
    </w:p>
    <w:p>
      <w:pPr>
        <w:pStyle w:val="StructureList1"/>
        <w:spacing w:before="120" w:after="0"/>
        <w:rPr>
          <w:lang w:val="el" w:eastAsia="el"/>
        </w:rPr>
      </w:pPr>
      <w:r>
        <w:rPr>
          <w:lang w:val="el" w:eastAsia="el"/>
        </w:rPr>
        <w:t>β)</w:t>
      </w:r>
      <w:r>
        <w:rPr>
          <w:lang w:val="en" w:eastAsia="en"/>
        </w:rPr>
        <w:tab/>
      </w:r>
      <w:r>
        <w:rPr>
          <w:lang w:val="el" w:eastAsia="el"/>
        </w:rPr>
        <w:t>η λειτουργία τους αναστέλλεται με εντολή δημόσιας αρχής, σύμφωνα με τους αναγραφόμενους ΚΑΔ στο συνημμένο πίνακα.</w:t>
      </w:r>
    </w:p>
    <w:p>
      <w:pPr>
        <w:spacing w:before="240" w:after="240"/>
        <w:rPr>
          <w:lang w:val="el" w:eastAsia="el"/>
        </w:rPr>
      </w:pPr>
      <w:r>
        <w:rPr>
          <w:lang w:val="el" w:eastAsia="el"/>
        </w:rPr>
        <w:t>Οι ανωτέρω οφειλές δύναται να ενταχθούν σε πρόγραμμα ρύθμισης σύμφωνα με τους όρους και τις προϋποθέσεις του άρθρου 289 του ν. 4738/2020 (Α΄ 207), όπως ισχύει.</w:t>
      </w:r>
    </w:p>
    <w:p>
      <w:pPr>
        <w:spacing w:before="240" w:after="240"/>
        <w:rPr>
          <w:lang w:val="el" w:eastAsia="el"/>
        </w:rPr>
      </w:pPr>
      <w:r>
        <w:rPr>
          <w:lang w:val="el" w:eastAsia="el"/>
        </w:rPr>
        <w:t>2. Από την εφαρμογή της παρούσας απόφασης εξαιρούνται: α) οι φορείς της Γενικής Κυβέρνησης, όπως ορίζονται στην παρ. 1 του άρθρου 14 του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 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Δ/νση Εφαρμογής Έμμεσης Φορολογίας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και Λιανικό εμπόριο ζώων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και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Aλλες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