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οικ.49250/2712</w:t>
      </w:r>
    </w:p>
    <w:p>
      <w:pPr>
        <w:pStyle w:val="PreambelText"/>
        <w:spacing w:before="240" w:after="240"/>
        <w:rPr>
          <w:lang w:val="el" w:eastAsia="el"/>
        </w:rPr>
      </w:pPr>
      <w:r>
        <w:rPr>
          <w:b/>
          <w:bCs/>
          <w:lang w:val="el" w:eastAsia="el"/>
        </w:rPr>
        <w:t>Επέκταση προθεσμίας καταβολής δόσεων ρυθμίσεων επιχειρήσεων και εργοδοτών για τις οποίες είχε χορηγηθεί παράταση προθεσμίας καταβολής στο πλαίσιο των μέτρων για την αντιμετώπιση των αρνητικών συνεπειών του κορωνοϊού COVID -19.</w:t>
      </w:r>
    </w:p>
    <w:p>
      <w:pPr>
        <w:pStyle w:val="PreambelText"/>
        <w:spacing w:before="240" w:after="240"/>
        <w:rPr>
          <w:lang w:val="el" w:eastAsia="el"/>
        </w:rPr>
      </w:pPr>
      <w:r>
        <w:rPr>
          <w:b/>
          <w:bCs/>
          <w:lang w:val="el" w:eastAsia="el"/>
        </w:rPr>
        <w:t>ΟΙ ΥΠΟΥΡΓΟΙ ΟΙΚΟΝΟΜΙΚΩΝ –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 όπως συμπληρώθηκε με το άρθρο εικοστό τρίτο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w:t>
      </w:r>
    </w:p>
    <w:p>
      <w:pPr>
        <w:pStyle w:val="PreambelText"/>
        <w:spacing w:before="240" w:after="240"/>
        <w:rPr>
          <w:lang w:val="el" w:eastAsia="el"/>
        </w:rPr>
      </w:pPr>
      <w:r>
        <w:rPr>
          <w:lang w:val="el" w:eastAsia="el"/>
        </w:rPr>
        <w:t>2. Τις διατάξεις του ν. 4270/2014 «Αρχές δημοσιονομικής διαχείρισης και εποπτείας (ενσωμάτωση της Οδηγίας 2011/85/ΕΕ) - δημόσιο λογιστικό και άλλες διατάξεις» (Α’ 143) και ιδίως τις διατάξεις της περ. ιβ του άρθρου 20.</w:t>
      </w:r>
    </w:p>
    <w:p>
      <w:pPr>
        <w:pStyle w:val="PreambelText"/>
        <w:spacing w:before="240" w:after="240"/>
        <w:rPr>
          <w:lang w:val="el" w:eastAsia="el"/>
        </w:rPr>
      </w:pPr>
      <w:r>
        <w:rPr>
          <w:lang w:val="el" w:eastAsia="el"/>
        </w:rPr>
        <w:t>3.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PreambelText"/>
        <w:spacing w:before="240" w:after="240"/>
        <w:rPr>
          <w:lang w:val="el" w:eastAsia="el"/>
        </w:rPr>
      </w:pPr>
      <w:r>
        <w:rPr>
          <w:lang w:val="el" w:eastAsia="el"/>
        </w:rPr>
        <w:t>4. Τις διατάξεις του ν. 4651/2019 «Κύρωση του κρατικού προϋπολογισμού οικονομικού έτους 2020» (Α’ 209).</w:t>
      </w:r>
    </w:p>
    <w:p>
      <w:pPr>
        <w:pStyle w:val="PreambelText"/>
        <w:spacing w:before="240" w:after="240"/>
        <w:rPr>
          <w:lang w:val="el" w:eastAsia="el"/>
        </w:rPr>
      </w:pPr>
      <w:r>
        <w:rPr>
          <w:lang w:val="el" w:eastAsia="el"/>
        </w:rPr>
        <w:t>5. Τις διατάξεις του άρθρου 90 του π.δ. 63/2005 «Κωδικοποίηση για την Κυβέρνηση και τα κυβερνητικά όργανα» (Α’ 98).</w:t>
      </w:r>
    </w:p>
    <w:p>
      <w:pPr>
        <w:pStyle w:val="PreambelText"/>
        <w:spacing w:before="240" w:after="240"/>
        <w:rPr>
          <w:lang w:val="el" w:eastAsia="el"/>
        </w:rPr>
      </w:pPr>
      <w:r>
        <w:rPr>
          <w:lang w:val="el" w:eastAsia="el"/>
        </w:rPr>
        <w:t>6. Τις διατάξεις του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7.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8. Τις διατάξεις του π.δ. 147/2017 «Οργανισμός Υπουργείου Οικονομίας και Ανάπτυξης» (Α’ 192), όπως ισχύει.</w:t>
      </w:r>
    </w:p>
    <w:p>
      <w:pPr>
        <w:pStyle w:val="PreambelText"/>
        <w:spacing w:before="240" w:after="240"/>
        <w:rPr>
          <w:lang w:val="el" w:eastAsia="el"/>
        </w:rPr>
      </w:pPr>
      <w:r>
        <w:rPr>
          <w:lang w:val="el" w:eastAsia="el"/>
        </w:rPr>
        <w:t>9.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Τις διατάξεις του άρθρου 7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12. Την υπ’ αρ. οικ. 48713/1232/26-11-2020 απόφαση των Υπουργών Οικονομικών και Εργασίας και Κοινωνικών Υποθέσεων «Αναστολή συμβάσεων εργασίας εργαζομένων σε επιχειρήσεις - εργοδότες του ιδιωτικού τομέα κατά τον μήνα Νοέμβριο» (Β’ 5246).</w:t>
      </w:r>
    </w:p>
    <w:p>
      <w:pPr>
        <w:pStyle w:val="PreambelText"/>
        <w:spacing w:before="240" w:after="240"/>
        <w:rPr>
          <w:lang w:val="el" w:eastAsia="el"/>
        </w:rPr>
      </w:pPr>
      <w:r>
        <w:rPr>
          <w:lang w:val="el" w:eastAsia="el"/>
        </w:rPr>
        <w:t>13. Την υπό στοιχεία A.1259/25-11-2020 απόφαση του Αναπληρωτή Υπουργού και Υφυπουργού Οικονομικών «Καθορισμός των Κωδικών Αριθμών Δραστηριοτήτων (ΚΑΔ) των επιχειρήσεων για την εφαρμογή της περ. α’ της παρ. 1 του άρθρου 35 του ν. 4753/2020, με τίτλο «Λήψη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(L186), ρυθμίσεις για τη Διυπηρεσιακή Μονάδα Ελέγχου Αγοράς, την Επιτροπή Ανταγωνισμού, τη λειτουργία της αγοράς και λοιπές διατάξεις» (Α’ 227)» (Β’ 5250).</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Οικ.45985/2462/30.11.2020 ΓΔ2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16. Το γεγονός ότι με την εφαρμογή της παρούσας απόφασης δεν προκαλείται δαπάνη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Επέκταση καταβολής δόσεων</w:t>
      </w:r>
    </w:p>
    <w:p>
      <w:pPr>
        <w:spacing w:before="240" w:after="240"/>
        <w:rPr>
          <w:lang w:val="el" w:eastAsia="el"/>
        </w:rPr>
      </w:pPr>
      <w:r>
        <w:rPr>
          <w:lang w:val="el" w:eastAsia="el"/>
        </w:rPr>
        <w:t>ρύθμισης εργοδοτών</w:t>
      </w:r>
    </w:p>
    <w:p>
      <w:pPr>
        <w:spacing w:before="240" w:after="240"/>
        <w:rPr>
          <w:lang w:val="el" w:eastAsia="el"/>
        </w:rPr>
      </w:pPr>
      <w:r>
        <w:rPr>
          <w:lang w:val="el" w:eastAsia="el"/>
        </w:rPr>
        <w:t>Για τις επιχειρήσεις ή εργοδότες, του άρθρου 2 της παρούσας, η προθεσμία καταβολής των δόσεων ενεργών ρυθμίσεων, οι οποίες είναι απαιτητές μέχρι τη δημοσίευση της παρούσας, καθώς και η προθεσμία όλων των επόμενων μηνιαίων δόσεων της κάθε ρύθμισης, παρατείνεται κατά έναν (1) μήνα.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Δικαίωμα υπαγωγής</w:t>
      </w:r>
    </w:p>
    <w:p>
      <w:pPr>
        <w:spacing w:before="240" w:after="240"/>
        <w:rPr>
          <w:lang w:val="el" w:eastAsia="el"/>
        </w:rPr>
      </w:pPr>
      <w:r>
        <w:rPr>
          <w:lang w:val="el" w:eastAsia="el"/>
        </w:rPr>
        <w:t>Στις διατάξεις του άρθρου 1 υπάγονται επιχειρήσεις ή εργοδότες που:</w:t>
      </w:r>
    </w:p>
    <w:p>
      <w:pPr>
        <w:pStyle w:val="StructureList1"/>
        <w:spacing w:before="120" w:after="0"/>
        <w:rPr>
          <w:lang w:val="el" w:eastAsia="el"/>
        </w:rPr>
      </w:pPr>
      <w:r>
        <w:rPr>
          <w:lang w:val="el" w:eastAsia="el"/>
        </w:rPr>
        <w:t>α)</w:t>
      </w:r>
      <w:r>
        <w:rPr>
          <w:lang w:val="en" w:eastAsia="en"/>
        </w:rPr>
        <w:tab/>
      </w:r>
      <w:r>
        <w:rPr>
          <w:lang w:val="el" w:eastAsia="el"/>
        </w:rPr>
        <w:t>απασχολούν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δραστηριότητας στις 05/11/2020, ή των οποίων τα ακαθάριστα έσοδα ενεργού κατά την 05/11/2020 κωδικού δευτερεύουσας δραστηριότητας, από τους αναφερόμενους στο συνημμένο πίνακα, ο οποίος αποτελεί αναπόσπαστο μέρος της παρούσας,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Απώλεια ευεργετημάτων</w:t>
      </w:r>
    </w:p>
    <w:p>
      <w:pPr>
        <w:pStyle w:val="MainText"/>
        <w:spacing w:before="120" w:after="0"/>
        <w:rPr>
          <w:lang w:val="el" w:eastAsia="el"/>
        </w:rPr>
      </w:pPr>
      <w:r>
        <w:rPr>
          <w:b/>
          <w:bCs/>
          <w:lang w:val="el" w:eastAsia="el"/>
        </w:rPr>
        <w:t>1.</w:t>
      </w:r>
      <w:r>
        <w:rPr>
          <w:lang w:val="el" w:eastAsia="el"/>
        </w:rPr>
        <w:t xml:space="preserve"> Σε περίπτωση που εργαζόμενοι επιχειρήσεων ή εργοδοτών του άρθρου 2 της παρούσας, μέρος ή όλοι, τίθενται σε καθεστώς αναστολής της σύμβασης εργασίας τους και ο οικείος εργοδότης καταγγείλει αυτή, καθώς και στην περίπτωση που κατά την ολοκλήρωση του μέτρου οι ανωτέρω επιχειρήσεις ή εργοδότες δεν διατηρούν τον ίδιο αριθμό θέσεων εργασίας, η παράταση καταβολής του άρθρου 1 της παρούσας παύει αυτοδικαίως, και οι οφειλές επιβαρύνονται με τόκους και προσαυξήσεις από την ημερομηνία που αυτές κατέστησαν απαιτητές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υποχρέωση αυτή δεν υφίσταται όταν συντρέχει αντικειμενική αδυναμία εκπλήρωσής της, όπως σε περιπτώσεις επιχειρήσεων που από τη μορφή, το είδος ή τη δραστηριότητά τους έχουν συγκεκριμένο χρόνο λειτουργίας.</w:t>
      </w:r>
    </w:p>
    <w:p>
      <w:pPr>
        <w:pStyle w:val="MainText"/>
        <w:spacing w:before="120" w:after="0"/>
        <w:rPr>
          <w:lang w:val="el" w:eastAsia="el"/>
        </w:rPr>
      </w:pPr>
      <w:r>
        <w:rPr>
          <w:b/>
          <w:bCs/>
          <w:lang w:val="el" w:eastAsia="el"/>
        </w:rPr>
        <w:t>3.</w:t>
      </w:r>
      <w:r>
        <w:rPr>
          <w:lang w:val="el" w:eastAsia="el"/>
        </w:rPr>
        <w:t xml:space="preserve"> Στην έννοια του ιδίου αριθμού θέσεων εργασίας δεν συμπεριλαμβάνονται οι αποχωρούντες οικειοθελώς από την εργασία τους, οι αποχωρούντες λόγω συνταξιοδότησης ή θανάτου καθώς και οι εργαζόμενοι ορισμένου χρόνου των οποίων η σύμβαση εργασίας τους λήγει κατά τη διάρκεια του ανωτέρω χρονικού διαστήματος.</w:t>
      </w:r>
    </w:p>
    <w:p>
      <w:pPr>
        <w:spacing w:before="240" w:after="240"/>
        <w:rPr>
          <w:lang w:val="el" w:eastAsia="el"/>
        </w:rPr>
      </w:pPr>
      <w:r>
        <w:rPr>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εκμετάλλευση περίπτερου (47.19.10.02),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 με εξαίρεση τις υπηρεσίες ηλεκτρονικού ή τηλεφωνικού εμπορίου με παράδοση κατ΄ οίκον (e-shop κ.τ.λ.), καθώς και τις υπηρεσίες πληρωμής λογαριασμών, ανανέωσης υπολοίπου, επισκευής και αντικατάστασης κινητών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 με εξαίρεση τις υπηρεσίες ηλεκτρονικού ή τηλεφωνικού εμπορίου με παράδοση κατ΄ οίκον (e-shop κ.τ.λ.) [εξαιρουμένων των Περιφερειακών Ενοτήτων Σάμου και Καρδίτσας, καθώς και των Δήμων Χερσονήσου και Μίνωα Πεδιάδας της Περιφερειακής Ενότητας Ηρακλείου Κρήτης]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 με εξαίρεση τις υπηρεσίες ηλεκτρονικού ή τηλεφωνικού εμπορίου με παράδοση κατ΄ οίκον (e-shop κ.τ.λ.)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π.δ.κ.ά.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π.δ.κ.ά. για σπαρτοπλεκτική, παραγέμισμα, βάτες, βαφή ή δέψη, φυτικών προϊόντων π.δ.κ.ά. (47.76.77.20), Λιανικό εμπόριο λιπασμάτων και αγροχημικών προϊόντων (47.76.78), Λιανικό εμπόριο ζώων συντροφιάς και τροφών για ζώα συντροφιάς (47.76.79),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π.δ.κ.ά. (47.78.87), Λιανικό εμπόριο μηχανημάτων και εξοπλισμού π.δ.κ.ά. (47.78.88), καθώς και τις υπηρεσίες ηλεκτρονικού ή τηλεφωνικού εμπορίου με παράδοση κατ΄ οίκον (e-shop κ.τ.λ.). Επιτρέπεται η λειτουργία των καταστημάτων οπτικών και καταστημάτων πώλησης ακουστικών βαρηκοΐας, μόνον κατόπιν τηλεφωνικής επικοινωνίας σε αριθμό τηλεφώνου ανάγκης που θα δίδεται από τους καταστηματάρχες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 με εξαίρεση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 με εξαίρεση τις υπηρεσίες ηλεκτρονικού ή τηλεφωνικού εμπορίου με παράδοση κατ΄ οίκον (e- 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 με εξαίρεση τις υπηρεσίες ηλεκτρονικού ή τηλεφωνικού εμπορίου με παράδοση κατ΄ οίκον (e-shop κ.τ.λ.)</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και τις υπηρεσίες ηλεκτρονικού ή τηλεφωνικού εμπορίου με παράδοση κατ΄ οίκον (e-shop κ.τ.λ.), καθώς και του λιανικού εμπορίου άλλων τυποποιημένων τροφίμων π.δ.κ.ά.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 και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 με εξαίρεση τις δραστηριότητες που αφορούν διανομή προϊόντων (delivery) και παροχή προϊόντων σε πακέτο από το κατάστημα (take away) στις οποίες δεν επιτρέπεται η χρήση τραπεζοκαθισμάτων και το σερβίρισμα σε αυτά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 εξαιρουμένων αποκλειστικά των Ιδιωτικών Κέντρων Τεχνικού Ελέγχου Οχημάτων (ΙΚΤΕΟ) που διαθέτουν εγκεκριμένη – αδειοδοτημένη αυτόματη γραμμή τεχνικού ελέγχου βαρέων οχημάτων για τον τεχνικό έλεγχο φορτηγών και λεωφορείων αυτοκίνητων οχημάτων που εκτε- λούν διεθνείς και εγχώριες μεταφορές, των οποίων ο τεχνικός έλεγχος εξακολουθεί να διενεργείται σύμφωνα με τις ισχύουσες διατάξεις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 εξαιρείται η εξ 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 εξαιρείται η εξ αποστάσεως εκπαίδευση και οι υπηρεσίες προπονητή αθλητών (85.51.10.06) που σχετίζονται με ατομικά αθλήματα και αθλητές που συμμετέχουν στην Α΄ κατηγορία καλαθοσφαίρισης (Basket league) και ποδοσφαίρου (Superleague) και σε Ολυμπιακούς και Παραολυμπιακούς αγώνες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 εξαιρείται η εξ 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π.δ.κ.ά., εξαιρείται η ειδική αγωγή και η εξ αποστάσεως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 εξαιρείται η εξ’ αποστάσεως συμβουλευτική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 με εξαίρεση α) τις εγκαταστάσεις που διενεργούνται προπονήσεις και αγώνες ομάδων Α΄ κατηγορίας καλαθοσφαίρισης (Basket league) και ποδοσφαίρου (Superleague), β) εγκαταστάσεις που προπονούνται αθλητές που συμμετέχουν στους Ολυμπιακούς και Παραολυμπιακούς αγώνες, γ) τους προπονητές που παρέχουν υπηρεσίες σε ατομικά αθλήματα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 με εξαίρεση τους αθλητικούς ομίλους που συμμετέχουν στην Α΄ κατηγορία καλαθοσφαίρισης (Basket league) και ποδοσφαίρου (Superleague) και σε Ολυμπιακούς και Παραολυμπιακούς αγώνες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 και υπηρεσίες που σχετίζονται με αθλητές που συμμετέχουν σε ατομικά αθλήματα και στην Α΄ κατηγορία καλαθοσφαίρισης (Basketleague) και ποδοσφαίρου (Superleague) και σε Ολυμπιακούς και Παραολυμπιακούς αγώνες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 με εξαίρεση τις δραστηριότητες που αφορούν παροχή υπηρεσιών σε αιτούντες άσυλο και πρόσφυγες, και ιδίως παραπομπές και συνοδεία σε θέσεις φιλοξενίας, υπηρεσίες διερμηνείας, ψυχοκοινωνικής στήριξης και νομικής συνδρομής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 εξαιρείται η εξ’ αποστάσεως συμβουλευτική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Νοεμβρίου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Εργασίας και Κοινωνικών</w:t>
      </w:r>
    </w:p>
    <w:p>
      <w:pPr>
        <w:spacing w:before="240" w:after="240"/>
        <w:rPr>
          <w:lang w:val="el" w:eastAsia="el"/>
        </w:rPr>
      </w:pPr>
      <w:r>
        <w:rPr>
          <w:lang w:val="el" w:eastAsia="el"/>
        </w:rPr>
        <w:t>Οικονομικών Υποθέσεων</w:t>
      </w:r>
    </w:p>
    <w:p>
      <w:pPr>
        <w:spacing w:before="240" w:after="240"/>
        <w:rPr>
          <w:lang w:val="el" w:eastAsia="el"/>
        </w:rPr>
      </w:pPr>
      <w:r>
        <w:rPr>
          <w:b/>
          <w:bCs/>
          <w:lang w:val="el" w:eastAsia="el"/>
        </w:rPr>
        <w:t>ΘΕΟΔΩΡΟΣ ΣΚΥΛΑΚΑΚΗΣ ΙΩΑΝΝΗΣ ΒΡΟΥΤΣΗΣ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